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5A9C3" w14:textId="77777777" w:rsidR="00366002" w:rsidRDefault="00366002">
      <w:pPr>
        <w:pStyle w:val="Nzov"/>
        <w:pBdr>
          <w:top w:val="none" w:sz="0" w:space="0" w:color="auto"/>
          <w:left w:val="none" w:sz="0" w:space="0" w:color="auto"/>
          <w:bottom w:val="none" w:sz="0" w:space="0" w:color="auto"/>
          <w:right w:val="none" w:sz="0" w:space="0" w:color="auto"/>
        </w:pBdr>
        <w:shd w:val="clear" w:color="auto" w:fill="auto"/>
        <w:rPr>
          <w:rFonts w:ascii="Calibri" w:hAnsi="Calibri" w:cs="Arial"/>
          <w:w w:val="150"/>
          <w:sz w:val="22"/>
          <w:szCs w:val="22"/>
        </w:rPr>
      </w:pPr>
    </w:p>
    <w:p w14:paraId="124E7EF3" w14:textId="77777777" w:rsidR="002217E3" w:rsidRPr="00366002" w:rsidRDefault="002217E3">
      <w:pPr>
        <w:pStyle w:val="Nzov"/>
        <w:pBdr>
          <w:top w:val="none" w:sz="0" w:space="0" w:color="auto"/>
          <w:left w:val="none" w:sz="0" w:space="0" w:color="auto"/>
          <w:bottom w:val="none" w:sz="0" w:space="0" w:color="auto"/>
          <w:right w:val="none" w:sz="0" w:space="0" w:color="auto"/>
        </w:pBdr>
        <w:shd w:val="clear" w:color="auto" w:fill="auto"/>
        <w:rPr>
          <w:rFonts w:ascii="Calibri" w:hAnsi="Calibri" w:cs="Arial"/>
          <w:w w:val="150"/>
          <w:sz w:val="22"/>
          <w:szCs w:val="22"/>
        </w:rPr>
      </w:pPr>
      <w:r w:rsidRPr="00366002">
        <w:rPr>
          <w:rFonts w:ascii="Calibri" w:hAnsi="Calibri" w:cs="Arial"/>
          <w:w w:val="150"/>
          <w:sz w:val="22"/>
          <w:szCs w:val="22"/>
        </w:rPr>
        <w:t xml:space="preserve"> </w:t>
      </w:r>
    </w:p>
    <w:p w14:paraId="6868F356" w14:textId="77777777" w:rsidR="002217E3" w:rsidRPr="00366002" w:rsidRDefault="002217E3">
      <w:pPr>
        <w:pStyle w:val="Nzov"/>
        <w:pBdr>
          <w:top w:val="none" w:sz="0" w:space="0" w:color="auto"/>
          <w:left w:val="none" w:sz="0" w:space="0" w:color="auto"/>
          <w:bottom w:val="none" w:sz="0" w:space="0" w:color="auto"/>
          <w:right w:val="none" w:sz="0" w:space="0" w:color="auto"/>
        </w:pBdr>
        <w:rPr>
          <w:rFonts w:ascii="Calibri" w:hAnsi="Calibri" w:cs="Arial"/>
          <w:w w:val="150"/>
          <w:szCs w:val="28"/>
        </w:rPr>
      </w:pPr>
      <w:r w:rsidRPr="00366002">
        <w:rPr>
          <w:rFonts w:ascii="Calibri" w:hAnsi="Calibri" w:cs="Arial"/>
          <w:w w:val="150"/>
          <w:szCs w:val="28"/>
        </w:rPr>
        <w:t>1. T E C H N I C K Á    S P R Á V A</w:t>
      </w:r>
    </w:p>
    <w:p w14:paraId="1D4C19E3" w14:textId="77777777" w:rsidR="002217E3" w:rsidRPr="00366002" w:rsidRDefault="002217E3">
      <w:pPr>
        <w:spacing w:line="360" w:lineRule="auto"/>
        <w:jc w:val="center"/>
        <w:rPr>
          <w:rFonts w:ascii="Calibri" w:hAnsi="Calibri" w:cs="Arial"/>
          <w:b/>
          <w:sz w:val="22"/>
          <w:szCs w:val="22"/>
        </w:rPr>
      </w:pPr>
    </w:p>
    <w:p w14:paraId="0B89E5AC" w14:textId="77777777" w:rsidR="002217E3" w:rsidRPr="00366002" w:rsidRDefault="002217E3" w:rsidP="007D5FD9">
      <w:pPr>
        <w:spacing w:line="360" w:lineRule="auto"/>
        <w:rPr>
          <w:rFonts w:ascii="Calibri" w:hAnsi="Calibri" w:cs="Arial"/>
          <w:b/>
          <w:sz w:val="22"/>
          <w:szCs w:val="22"/>
        </w:rPr>
      </w:pPr>
    </w:p>
    <w:p w14:paraId="443CA08C" w14:textId="77777777" w:rsidR="00CD441D" w:rsidRPr="00CD441D" w:rsidRDefault="002217E3" w:rsidP="00CD441D">
      <w:pPr>
        <w:numPr>
          <w:ilvl w:val="0"/>
          <w:numId w:val="14"/>
        </w:numPr>
        <w:spacing w:line="360" w:lineRule="auto"/>
        <w:rPr>
          <w:rFonts w:ascii="Calibri" w:hAnsi="Calibri" w:cs="Arial"/>
          <w:b/>
          <w:sz w:val="28"/>
          <w:szCs w:val="28"/>
          <w:u w:val="single"/>
        </w:rPr>
      </w:pPr>
      <w:r w:rsidRPr="00366002">
        <w:rPr>
          <w:rFonts w:ascii="Calibri" w:hAnsi="Calibri" w:cs="Arial"/>
          <w:b/>
          <w:sz w:val="28"/>
          <w:szCs w:val="28"/>
          <w:u w:val="single"/>
        </w:rPr>
        <w:t>ZÁKLADNÉ ÚDAJE:</w:t>
      </w:r>
    </w:p>
    <w:p w14:paraId="64E7E303" w14:textId="77777777" w:rsidR="00CD441D" w:rsidRDefault="00CD441D" w:rsidP="00BC0A31">
      <w:pPr>
        <w:spacing w:line="360" w:lineRule="auto"/>
        <w:rPr>
          <w:rFonts w:ascii="Calibri" w:hAnsi="Calibri" w:cs="Arial"/>
          <w:sz w:val="22"/>
          <w:szCs w:val="22"/>
          <w:u w:val="single"/>
        </w:rPr>
      </w:pPr>
    </w:p>
    <w:p w14:paraId="04A6C9CF" w14:textId="0B145934" w:rsidR="006F77AE" w:rsidRDefault="0030633E" w:rsidP="00563B56">
      <w:pPr>
        <w:spacing w:line="360" w:lineRule="auto"/>
        <w:ind w:left="1416" w:hanging="1416"/>
        <w:outlineLvl w:val="0"/>
        <w:rPr>
          <w:rFonts w:ascii="Calibri" w:hAnsi="Calibri" w:cs="Arial"/>
          <w:b/>
          <w:sz w:val="32"/>
          <w:szCs w:val="32"/>
        </w:rPr>
      </w:pPr>
      <w:r w:rsidRPr="007B7D3A">
        <w:rPr>
          <w:rFonts w:ascii="Calibri" w:hAnsi="Calibri" w:cs="Arial"/>
          <w:u w:val="single"/>
        </w:rPr>
        <w:t>Stavba</w:t>
      </w:r>
      <w:r w:rsidRPr="007B7D3A">
        <w:rPr>
          <w:rFonts w:ascii="Calibri" w:hAnsi="Calibri" w:cs="Arial"/>
        </w:rPr>
        <w:t xml:space="preserve">: </w:t>
      </w:r>
      <w:r w:rsidRPr="007B7D3A">
        <w:rPr>
          <w:rFonts w:ascii="Calibri" w:hAnsi="Calibri" w:cs="Arial"/>
        </w:rPr>
        <w:tab/>
      </w:r>
      <w:r w:rsidR="006F77AE">
        <w:rPr>
          <w:rFonts w:ascii="Calibri" w:hAnsi="Calibri" w:cs="Arial"/>
        </w:rPr>
        <w:t xml:space="preserve">      </w:t>
      </w:r>
      <w:r w:rsidR="006F77AE">
        <w:rPr>
          <w:rFonts w:ascii="Calibri" w:hAnsi="Calibri" w:cs="Arial"/>
          <w:b/>
          <w:sz w:val="32"/>
          <w:szCs w:val="32"/>
        </w:rPr>
        <w:t>CHP Vyšné Nemecké</w:t>
      </w:r>
    </w:p>
    <w:p w14:paraId="373F3639" w14:textId="70D913E7" w:rsidR="000A346A" w:rsidRPr="006F77AE" w:rsidRDefault="006F77AE" w:rsidP="00563B56">
      <w:pPr>
        <w:spacing w:line="360" w:lineRule="auto"/>
        <w:ind w:left="1416" w:hanging="1416"/>
        <w:outlineLvl w:val="0"/>
        <w:rPr>
          <w:rFonts w:ascii="Calibri" w:hAnsi="Calibri" w:cs="Arial"/>
          <w:b/>
          <w:bCs/>
          <w:sz w:val="32"/>
          <w:szCs w:val="32"/>
        </w:rPr>
      </w:pPr>
      <w:r>
        <w:rPr>
          <w:rFonts w:ascii="Calibri" w:hAnsi="Calibri" w:cs="Arial"/>
        </w:rPr>
        <w:tab/>
        <w:t xml:space="preserve">      </w:t>
      </w:r>
      <w:r w:rsidRPr="006F77AE">
        <w:rPr>
          <w:rFonts w:ascii="Calibri" w:hAnsi="Calibri" w:cs="Arial"/>
          <w:b/>
          <w:bCs/>
          <w:sz w:val="32"/>
          <w:szCs w:val="32"/>
        </w:rPr>
        <w:t>OD</w:t>
      </w:r>
      <w:r>
        <w:rPr>
          <w:rFonts w:ascii="Calibri" w:hAnsi="Calibri" w:cs="Arial"/>
          <w:b/>
          <w:bCs/>
          <w:sz w:val="32"/>
          <w:szCs w:val="32"/>
        </w:rPr>
        <w:t xml:space="preserve"> – Rozšírenie pracoviska</w:t>
      </w:r>
      <w:r w:rsidR="008E324C">
        <w:rPr>
          <w:rFonts w:ascii="Calibri" w:hAnsi="Calibri" w:cs="Arial"/>
          <w:b/>
          <w:bCs/>
          <w:sz w:val="32"/>
          <w:szCs w:val="32"/>
        </w:rPr>
        <w:t xml:space="preserve"> – aktualizácia PD</w:t>
      </w:r>
      <w:r w:rsidR="008D0206" w:rsidRPr="006F77AE">
        <w:rPr>
          <w:rFonts w:ascii="Calibri" w:hAnsi="Calibri" w:cs="Arial"/>
          <w:b/>
          <w:bCs/>
          <w:sz w:val="32"/>
          <w:szCs w:val="32"/>
        </w:rPr>
        <w:t xml:space="preserve"> </w:t>
      </w:r>
      <w:r w:rsidR="009E1E64" w:rsidRPr="006F77AE">
        <w:rPr>
          <w:rFonts w:ascii="Calibri" w:hAnsi="Calibri" w:cs="Arial"/>
          <w:b/>
          <w:bCs/>
          <w:sz w:val="32"/>
          <w:szCs w:val="32"/>
        </w:rPr>
        <w:t xml:space="preserve"> </w:t>
      </w:r>
      <w:r w:rsidR="00D52331" w:rsidRPr="006F77AE">
        <w:rPr>
          <w:rFonts w:ascii="Calibri" w:hAnsi="Calibri" w:cs="Arial"/>
          <w:b/>
          <w:bCs/>
          <w:sz w:val="32"/>
          <w:szCs w:val="32"/>
        </w:rPr>
        <w:t xml:space="preserve"> </w:t>
      </w:r>
    </w:p>
    <w:p w14:paraId="70C08EC0" w14:textId="52DD8305" w:rsidR="0025603C" w:rsidRPr="006F77AE" w:rsidRDefault="003C0146" w:rsidP="00446B08">
      <w:pPr>
        <w:spacing w:line="360" w:lineRule="auto"/>
        <w:jc w:val="both"/>
        <w:rPr>
          <w:rFonts w:ascii="Calibri" w:hAnsi="Calibri" w:cs="Arial"/>
          <w:sz w:val="28"/>
          <w:szCs w:val="28"/>
        </w:rPr>
      </w:pPr>
      <w:r w:rsidRPr="006F77AE">
        <w:rPr>
          <w:rFonts w:ascii="Calibri" w:hAnsi="Calibri" w:cs="Arial"/>
          <w:sz w:val="28"/>
          <w:szCs w:val="28"/>
          <w:u w:val="single"/>
        </w:rPr>
        <w:t>Časť</w:t>
      </w:r>
      <w:r w:rsidR="0025603C" w:rsidRPr="006F77AE">
        <w:rPr>
          <w:rFonts w:ascii="Calibri" w:hAnsi="Calibri" w:cs="Arial"/>
          <w:sz w:val="28"/>
          <w:szCs w:val="28"/>
          <w:u w:val="single"/>
        </w:rPr>
        <w:t>:</w:t>
      </w:r>
      <w:r w:rsidR="006F77AE" w:rsidRPr="006F77AE">
        <w:rPr>
          <w:rFonts w:ascii="Calibri" w:hAnsi="Calibri" w:cs="Arial"/>
          <w:sz w:val="28"/>
          <w:szCs w:val="28"/>
        </w:rPr>
        <w:tab/>
      </w:r>
      <w:r w:rsidR="006F77AE" w:rsidRPr="006F77AE">
        <w:rPr>
          <w:rFonts w:ascii="Calibri" w:hAnsi="Calibri" w:cs="Arial"/>
          <w:sz w:val="28"/>
          <w:szCs w:val="28"/>
        </w:rPr>
        <w:tab/>
      </w:r>
      <w:r w:rsidR="006F77AE">
        <w:rPr>
          <w:rFonts w:ascii="Calibri" w:hAnsi="Calibri" w:cs="Arial"/>
          <w:sz w:val="28"/>
          <w:szCs w:val="28"/>
        </w:rPr>
        <w:t xml:space="preserve">     </w:t>
      </w:r>
      <w:r w:rsidR="006F77AE" w:rsidRPr="006F77AE">
        <w:rPr>
          <w:rFonts w:ascii="Calibri" w:hAnsi="Calibri" w:cs="Arial"/>
          <w:sz w:val="28"/>
          <w:szCs w:val="28"/>
        </w:rPr>
        <w:t>SO – 14</w:t>
      </w:r>
      <w:r w:rsidR="008E324C">
        <w:rPr>
          <w:rFonts w:ascii="Calibri" w:hAnsi="Calibri" w:cs="Arial"/>
          <w:sz w:val="28"/>
          <w:szCs w:val="28"/>
        </w:rPr>
        <w:t>a</w:t>
      </w:r>
      <w:r w:rsidR="006F77AE" w:rsidRPr="006F77AE">
        <w:rPr>
          <w:rFonts w:ascii="Calibri" w:hAnsi="Calibri" w:cs="Arial"/>
          <w:sz w:val="28"/>
          <w:szCs w:val="28"/>
        </w:rPr>
        <w:t xml:space="preserve"> Bezpečnostné systémy</w:t>
      </w:r>
      <w:r w:rsidR="0025603C" w:rsidRPr="006F77AE">
        <w:rPr>
          <w:rFonts w:ascii="Calibri" w:hAnsi="Calibri" w:cs="Arial"/>
          <w:sz w:val="28"/>
          <w:szCs w:val="28"/>
          <w:u w:val="single"/>
        </w:rPr>
        <w:t xml:space="preserve"> </w:t>
      </w:r>
      <w:r w:rsidR="0025603C" w:rsidRPr="006F77AE">
        <w:rPr>
          <w:rFonts w:ascii="Calibri" w:hAnsi="Calibri" w:cs="Arial"/>
          <w:sz w:val="28"/>
          <w:szCs w:val="28"/>
        </w:rPr>
        <w:t xml:space="preserve">                   </w:t>
      </w:r>
    </w:p>
    <w:p w14:paraId="76CAA205" w14:textId="2606FBF8" w:rsidR="006F77AE" w:rsidRDefault="00553CD2" w:rsidP="00446B08">
      <w:pPr>
        <w:spacing w:line="360" w:lineRule="auto"/>
        <w:jc w:val="both"/>
        <w:rPr>
          <w:rFonts w:ascii="Calibri" w:hAnsi="Calibri" w:cs="Arial"/>
          <w:sz w:val="28"/>
          <w:szCs w:val="28"/>
        </w:rPr>
      </w:pPr>
      <w:r w:rsidRPr="006F77AE">
        <w:rPr>
          <w:rFonts w:ascii="Calibri" w:hAnsi="Calibri" w:cs="Arial"/>
          <w:sz w:val="28"/>
          <w:szCs w:val="28"/>
          <w:u w:val="single"/>
        </w:rPr>
        <w:t>Stupeň PD:</w:t>
      </w:r>
      <w:r w:rsidRPr="00366002">
        <w:rPr>
          <w:rFonts w:ascii="Calibri" w:hAnsi="Calibri" w:cs="Arial"/>
          <w:sz w:val="22"/>
          <w:szCs w:val="22"/>
          <w:u w:val="single"/>
        </w:rPr>
        <w:t xml:space="preserve"> </w:t>
      </w:r>
      <w:r w:rsidRPr="00366002">
        <w:rPr>
          <w:rFonts w:ascii="Calibri" w:hAnsi="Calibri" w:cs="Arial"/>
          <w:sz w:val="22"/>
          <w:szCs w:val="22"/>
        </w:rPr>
        <w:t xml:space="preserve">   </w:t>
      </w:r>
      <w:r>
        <w:rPr>
          <w:rFonts w:ascii="Calibri" w:hAnsi="Calibri" w:cs="Arial"/>
          <w:sz w:val="22"/>
          <w:szCs w:val="22"/>
        </w:rPr>
        <w:t xml:space="preserve">     </w:t>
      </w:r>
      <w:r w:rsidR="006F77AE">
        <w:rPr>
          <w:rFonts w:ascii="Calibri" w:hAnsi="Calibri" w:cs="Arial"/>
          <w:sz w:val="22"/>
          <w:szCs w:val="22"/>
        </w:rPr>
        <w:t xml:space="preserve"> </w:t>
      </w:r>
      <w:r w:rsidR="006F77AE">
        <w:rPr>
          <w:rFonts w:ascii="Calibri" w:hAnsi="Calibri" w:cs="Arial"/>
          <w:sz w:val="28"/>
          <w:szCs w:val="28"/>
        </w:rPr>
        <w:t>Projekt pre stavebné povolenie</w:t>
      </w:r>
    </w:p>
    <w:p w14:paraId="56B6A269" w14:textId="01076AC1" w:rsidR="006F77AE" w:rsidRDefault="006F77AE" w:rsidP="006F77AE">
      <w:pPr>
        <w:contextualSpacing/>
        <w:jc w:val="both"/>
        <w:rPr>
          <w:rFonts w:ascii="Calibri" w:hAnsi="Calibri" w:cs="Arial"/>
          <w:sz w:val="22"/>
          <w:szCs w:val="22"/>
        </w:rPr>
      </w:pPr>
      <w:r>
        <w:rPr>
          <w:rFonts w:ascii="Calibri" w:hAnsi="Calibri" w:cs="Arial"/>
          <w:sz w:val="22"/>
          <w:szCs w:val="22"/>
          <w:u w:val="single"/>
        </w:rPr>
        <w:t>Autor projektu</w:t>
      </w:r>
      <w:r w:rsidRPr="00366002">
        <w:rPr>
          <w:rFonts w:ascii="Calibri" w:hAnsi="Calibri" w:cs="Arial"/>
          <w:sz w:val="22"/>
          <w:szCs w:val="22"/>
          <w:u w:val="single"/>
        </w:rPr>
        <w:t xml:space="preserve">: </w:t>
      </w:r>
      <w:r w:rsidRPr="00366002">
        <w:rPr>
          <w:rFonts w:ascii="Calibri" w:hAnsi="Calibri" w:cs="Arial"/>
          <w:sz w:val="22"/>
          <w:szCs w:val="22"/>
        </w:rPr>
        <w:t xml:space="preserve">   </w:t>
      </w:r>
      <w:r>
        <w:rPr>
          <w:rFonts w:ascii="Calibri" w:hAnsi="Calibri" w:cs="Arial"/>
          <w:sz w:val="22"/>
          <w:szCs w:val="22"/>
        </w:rPr>
        <w:t xml:space="preserve">    </w:t>
      </w:r>
      <w:r w:rsidRPr="006F77AE">
        <w:rPr>
          <w:rFonts w:ascii="Calibri" w:hAnsi="Calibri" w:cs="Arial"/>
          <w:sz w:val="22"/>
          <w:szCs w:val="22"/>
        </w:rPr>
        <w:t>Ing. František Solár</w:t>
      </w:r>
    </w:p>
    <w:p w14:paraId="1497111C" w14:textId="77777777" w:rsidR="006F77AE" w:rsidRDefault="006F77AE" w:rsidP="006F77AE">
      <w:pPr>
        <w:contextualSpacing/>
        <w:jc w:val="both"/>
        <w:rPr>
          <w:rFonts w:ascii="Calibri" w:hAnsi="Calibri" w:cs="Arial"/>
          <w:sz w:val="22"/>
          <w:szCs w:val="22"/>
        </w:rPr>
      </w:pPr>
    </w:p>
    <w:p w14:paraId="49E62BC0" w14:textId="60C1D0B7" w:rsidR="006F77AE" w:rsidRDefault="006F77AE" w:rsidP="006F77AE">
      <w:pPr>
        <w:contextualSpacing/>
        <w:jc w:val="both"/>
        <w:rPr>
          <w:rFonts w:ascii="Calibri" w:hAnsi="Calibri" w:cs="Arial"/>
          <w:sz w:val="28"/>
          <w:szCs w:val="28"/>
        </w:rPr>
      </w:pPr>
      <w:r>
        <w:rPr>
          <w:rFonts w:ascii="Calibri" w:hAnsi="Calibri" w:cs="Arial"/>
          <w:sz w:val="22"/>
          <w:szCs w:val="22"/>
          <w:u w:val="single"/>
        </w:rPr>
        <w:t>Hl. inžinier</w:t>
      </w:r>
      <w:r w:rsidRPr="00366002">
        <w:rPr>
          <w:rFonts w:ascii="Calibri" w:hAnsi="Calibri" w:cs="Arial"/>
          <w:sz w:val="22"/>
          <w:szCs w:val="22"/>
          <w:u w:val="single"/>
        </w:rPr>
        <w:t xml:space="preserve">: </w:t>
      </w:r>
      <w:r w:rsidRPr="00366002">
        <w:rPr>
          <w:rFonts w:ascii="Calibri" w:hAnsi="Calibri" w:cs="Arial"/>
          <w:sz w:val="22"/>
          <w:szCs w:val="22"/>
        </w:rPr>
        <w:t xml:space="preserve">   </w:t>
      </w:r>
      <w:r>
        <w:rPr>
          <w:rFonts w:ascii="Calibri" w:hAnsi="Calibri" w:cs="Arial"/>
          <w:sz w:val="22"/>
          <w:szCs w:val="22"/>
        </w:rPr>
        <w:t xml:space="preserve">    </w:t>
      </w:r>
      <w:r w:rsidR="00F269A3">
        <w:rPr>
          <w:rFonts w:ascii="Calibri" w:hAnsi="Calibri" w:cs="Arial"/>
          <w:sz w:val="22"/>
          <w:szCs w:val="22"/>
        </w:rPr>
        <w:t xml:space="preserve">        </w:t>
      </w:r>
      <w:r w:rsidRPr="006F77AE">
        <w:rPr>
          <w:rFonts w:ascii="Calibri" w:hAnsi="Calibri" w:cs="Arial"/>
          <w:sz w:val="22"/>
          <w:szCs w:val="22"/>
        </w:rPr>
        <w:t xml:space="preserve">Ing. </w:t>
      </w:r>
      <w:r w:rsidR="00F269A3">
        <w:rPr>
          <w:rFonts w:ascii="Calibri" w:hAnsi="Calibri" w:cs="Arial"/>
          <w:sz w:val="22"/>
          <w:szCs w:val="22"/>
        </w:rPr>
        <w:t>Ján Jakubov</w:t>
      </w:r>
    </w:p>
    <w:p w14:paraId="0670F38C" w14:textId="77777777" w:rsidR="00F269A3" w:rsidRPr="00446B08" w:rsidRDefault="00F269A3" w:rsidP="006F77AE">
      <w:pPr>
        <w:contextualSpacing/>
        <w:jc w:val="both"/>
        <w:rPr>
          <w:rFonts w:ascii="Calibri" w:hAnsi="Calibri" w:cs="Arial"/>
          <w:sz w:val="28"/>
          <w:szCs w:val="28"/>
        </w:rPr>
      </w:pPr>
    </w:p>
    <w:p w14:paraId="263144CD" w14:textId="2D31527E" w:rsidR="009E1E64" w:rsidRPr="006F77AE" w:rsidRDefault="009E1E64" w:rsidP="003C0146">
      <w:pPr>
        <w:contextualSpacing/>
        <w:jc w:val="both"/>
        <w:rPr>
          <w:rFonts w:ascii="Calibri" w:hAnsi="Calibri" w:cs="Arial"/>
          <w:sz w:val="22"/>
          <w:szCs w:val="22"/>
        </w:rPr>
      </w:pPr>
      <w:r>
        <w:rPr>
          <w:rFonts w:ascii="Calibri" w:hAnsi="Calibri" w:cs="Arial"/>
          <w:sz w:val="22"/>
          <w:szCs w:val="22"/>
          <w:u w:val="single"/>
        </w:rPr>
        <w:t xml:space="preserve">Spracovateľ </w:t>
      </w:r>
      <w:r w:rsidR="003C0146">
        <w:rPr>
          <w:rFonts w:ascii="Calibri" w:hAnsi="Calibri" w:cs="Arial"/>
          <w:sz w:val="22"/>
          <w:szCs w:val="22"/>
          <w:u w:val="single"/>
        </w:rPr>
        <w:t>časti</w:t>
      </w:r>
      <w:r w:rsidR="002217E3" w:rsidRPr="00366002">
        <w:rPr>
          <w:rFonts w:ascii="Calibri" w:hAnsi="Calibri" w:cs="Arial"/>
          <w:sz w:val="22"/>
          <w:szCs w:val="22"/>
          <w:u w:val="single"/>
        </w:rPr>
        <w:t xml:space="preserve">: </w:t>
      </w:r>
      <w:r w:rsidR="002217E3" w:rsidRPr="00366002">
        <w:rPr>
          <w:rFonts w:ascii="Calibri" w:hAnsi="Calibri" w:cs="Arial"/>
          <w:sz w:val="22"/>
          <w:szCs w:val="22"/>
        </w:rPr>
        <w:t xml:space="preserve">   </w:t>
      </w:r>
      <w:r w:rsidR="00F269A3">
        <w:rPr>
          <w:rFonts w:ascii="Calibri" w:hAnsi="Calibri" w:cs="Arial"/>
          <w:sz w:val="22"/>
          <w:szCs w:val="22"/>
        </w:rPr>
        <w:t xml:space="preserve"> </w:t>
      </w:r>
      <w:r w:rsidR="003C0146" w:rsidRPr="006F77AE">
        <w:rPr>
          <w:rFonts w:ascii="Calibri" w:hAnsi="Calibri" w:cs="Arial"/>
          <w:sz w:val="22"/>
          <w:szCs w:val="22"/>
        </w:rPr>
        <w:t>Ing. Peter Cehlár</w:t>
      </w:r>
    </w:p>
    <w:p w14:paraId="4B29396C" w14:textId="717CFC4E" w:rsidR="002217E3" w:rsidRPr="006F77AE" w:rsidRDefault="009E1E64" w:rsidP="003C0146">
      <w:pPr>
        <w:contextualSpacing/>
        <w:jc w:val="both"/>
        <w:rPr>
          <w:rFonts w:ascii="Calibri" w:hAnsi="Calibri" w:cs="Arial"/>
          <w:sz w:val="22"/>
          <w:szCs w:val="22"/>
        </w:rPr>
      </w:pPr>
      <w:r w:rsidRPr="006F77AE">
        <w:rPr>
          <w:rFonts w:ascii="Calibri" w:hAnsi="Calibri" w:cs="Arial"/>
          <w:sz w:val="22"/>
          <w:szCs w:val="22"/>
        </w:rPr>
        <w:t xml:space="preserve">                                </w:t>
      </w:r>
      <w:r w:rsidR="00F269A3">
        <w:rPr>
          <w:rFonts w:ascii="Calibri" w:hAnsi="Calibri" w:cs="Arial"/>
          <w:sz w:val="22"/>
          <w:szCs w:val="22"/>
        </w:rPr>
        <w:t xml:space="preserve">     </w:t>
      </w:r>
      <w:r w:rsidR="003C0146" w:rsidRPr="006F77AE">
        <w:rPr>
          <w:rFonts w:ascii="Calibri" w:hAnsi="Calibri" w:cs="Arial"/>
          <w:sz w:val="22"/>
          <w:szCs w:val="22"/>
        </w:rPr>
        <w:t>Bauerova 42, 04023, Košice</w:t>
      </w:r>
      <w:r w:rsidR="00787F40" w:rsidRPr="006F77AE">
        <w:rPr>
          <w:rFonts w:ascii="Calibri" w:hAnsi="Calibri" w:cs="Arial"/>
          <w:sz w:val="22"/>
          <w:szCs w:val="22"/>
        </w:rPr>
        <w:t xml:space="preserve"> </w:t>
      </w:r>
    </w:p>
    <w:p w14:paraId="078CD2FB" w14:textId="77777777" w:rsidR="002217E3" w:rsidRPr="00366002" w:rsidRDefault="002217E3">
      <w:pPr>
        <w:spacing w:line="360" w:lineRule="auto"/>
        <w:jc w:val="both"/>
        <w:rPr>
          <w:rFonts w:ascii="Calibri" w:hAnsi="Calibri" w:cs="Arial"/>
          <w:sz w:val="22"/>
          <w:szCs w:val="22"/>
        </w:rPr>
      </w:pPr>
      <w:r w:rsidRPr="00366002">
        <w:rPr>
          <w:rFonts w:ascii="Calibri" w:hAnsi="Calibri" w:cs="Arial"/>
          <w:sz w:val="22"/>
          <w:szCs w:val="22"/>
          <w:u w:val="single"/>
        </w:rPr>
        <w:t>Profesný projektant</w:t>
      </w:r>
      <w:r w:rsidR="004342AF">
        <w:rPr>
          <w:rFonts w:ascii="Calibri" w:hAnsi="Calibri" w:cs="Arial"/>
          <w:sz w:val="22"/>
          <w:szCs w:val="22"/>
        </w:rPr>
        <w:t xml:space="preserve"> :  Ing. Peter Cehlár</w:t>
      </w:r>
      <w:r w:rsidR="00B42926">
        <w:rPr>
          <w:rFonts w:ascii="Calibri" w:hAnsi="Calibri" w:cs="Arial"/>
          <w:sz w:val="22"/>
          <w:szCs w:val="22"/>
        </w:rPr>
        <w:t xml:space="preserve"> </w:t>
      </w:r>
      <w:r w:rsidR="004342AF">
        <w:rPr>
          <w:rFonts w:ascii="Calibri" w:hAnsi="Calibri" w:cs="Arial"/>
          <w:sz w:val="22"/>
          <w:szCs w:val="22"/>
        </w:rPr>
        <w:t xml:space="preserve">        </w:t>
      </w:r>
      <w:r w:rsidR="009E1E64">
        <w:rPr>
          <w:rFonts w:ascii="Calibri" w:hAnsi="Calibri" w:cs="Arial"/>
          <w:sz w:val="22"/>
          <w:szCs w:val="22"/>
        </w:rPr>
        <w:t xml:space="preserve">                      </w:t>
      </w:r>
    </w:p>
    <w:p w14:paraId="4086AC7E" w14:textId="5B6D048A" w:rsidR="006E2B63" w:rsidRDefault="00F269A3">
      <w:pPr>
        <w:spacing w:line="360" w:lineRule="auto"/>
        <w:jc w:val="both"/>
        <w:rPr>
          <w:rFonts w:ascii="Calibri" w:hAnsi="Calibri" w:cs="Arial"/>
          <w:sz w:val="22"/>
          <w:szCs w:val="22"/>
        </w:rPr>
      </w:pPr>
      <w:r w:rsidRPr="00F269A3">
        <w:rPr>
          <w:rFonts w:ascii="Calibri" w:hAnsi="Calibri" w:cs="Arial"/>
          <w:sz w:val="22"/>
          <w:szCs w:val="22"/>
          <w:u w:val="single"/>
        </w:rPr>
        <w:t>Č</w:t>
      </w:r>
      <w:r w:rsidR="002217E3" w:rsidRPr="00F269A3">
        <w:rPr>
          <w:rFonts w:ascii="Calibri" w:hAnsi="Calibri" w:cs="Arial"/>
          <w:sz w:val="22"/>
          <w:szCs w:val="22"/>
          <w:u w:val="single"/>
        </w:rPr>
        <w:t>.</w:t>
      </w:r>
      <w:r w:rsidR="004342AF" w:rsidRPr="00F269A3">
        <w:rPr>
          <w:rFonts w:ascii="Calibri" w:hAnsi="Calibri" w:cs="Arial"/>
          <w:sz w:val="22"/>
          <w:szCs w:val="22"/>
          <w:u w:val="single"/>
        </w:rPr>
        <w:t xml:space="preserve"> </w:t>
      </w:r>
      <w:r w:rsidR="002217E3" w:rsidRPr="00F269A3">
        <w:rPr>
          <w:rFonts w:ascii="Calibri" w:hAnsi="Calibri" w:cs="Arial"/>
          <w:sz w:val="22"/>
          <w:szCs w:val="22"/>
          <w:u w:val="single"/>
        </w:rPr>
        <w:t>oprávnenia</w:t>
      </w:r>
      <w:r>
        <w:rPr>
          <w:rFonts w:ascii="Calibri" w:hAnsi="Calibri" w:cs="Arial"/>
          <w:sz w:val="22"/>
          <w:szCs w:val="22"/>
          <w:u w:val="single"/>
        </w:rPr>
        <w:t xml:space="preserve"> </w:t>
      </w:r>
      <w:r w:rsidR="004342AF" w:rsidRPr="00F269A3">
        <w:rPr>
          <w:rFonts w:ascii="Calibri" w:hAnsi="Calibri" w:cs="Arial"/>
          <w:sz w:val="22"/>
          <w:szCs w:val="22"/>
          <w:u w:val="single"/>
        </w:rPr>
        <w:t>SKSI:</w:t>
      </w:r>
      <w:r w:rsidR="004342AF">
        <w:rPr>
          <w:rFonts w:ascii="Calibri" w:hAnsi="Calibri" w:cs="Arial"/>
          <w:sz w:val="22"/>
          <w:szCs w:val="22"/>
        </w:rPr>
        <w:t xml:space="preserve"> </w:t>
      </w:r>
      <w:r>
        <w:rPr>
          <w:rFonts w:ascii="Calibri" w:hAnsi="Calibri" w:cs="Arial"/>
          <w:sz w:val="22"/>
          <w:szCs w:val="22"/>
        </w:rPr>
        <w:t xml:space="preserve">    </w:t>
      </w:r>
      <w:r w:rsidR="004342AF">
        <w:rPr>
          <w:rFonts w:ascii="Calibri" w:hAnsi="Calibri" w:cs="Arial"/>
          <w:sz w:val="22"/>
          <w:szCs w:val="22"/>
        </w:rPr>
        <w:t>6428*I4</w:t>
      </w:r>
    </w:p>
    <w:p w14:paraId="1640328C" w14:textId="77777777" w:rsidR="002217E3" w:rsidRPr="00366002" w:rsidRDefault="00A75415" w:rsidP="00AF5762">
      <w:pPr>
        <w:contextualSpacing/>
        <w:jc w:val="both"/>
        <w:rPr>
          <w:rFonts w:ascii="Calibri" w:hAnsi="Calibri" w:cs="Arial"/>
          <w:b/>
          <w:sz w:val="22"/>
          <w:szCs w:val="22"/>
          <w:u w:val="single"/>
        </w:rPr>
      </w:pPr>
      <w:r>
        <w:rPr>
          <w:rFonts w:ascii="Calibri" w:hAnsi="Calibri" w:cs="Arial"/>
          <w:b/>
          <w:sz w:val="22"/>
          <w:szCs w:val="22"/>
          <w:u w:val="single"/>
        </w:rPr>
        <w:t>1.1 Predmet a rozsah</w:t>
      </w:r>
      <w:r w:rsidR="002217E3" w:rsidRPr="00366002">
        <w:rPr>
          <w:rFonts w:ascii="Calibri" w:hAnsi="Calibri" w:cs="Arial"/>
          <w:b/>
          <w:sz w:val="22"/>
          <w:szCs w:val="22"/>
          <w:u w:val="single"/>
        </w:rPr>
        <w:t xml:space="preserve"> </w:t>
      </w:r>
      <w:r>
        <w:rPr>
          <w:rFonts w:ascii="Calibri" w:hAnsi="Calibri" w:cs="Arial"/>
          <w:b/>
          <w:sz w:val="22"/>
          <w:szCs w:val="22"/>
          <w:u w:val="single"/>
        </w:rPr>
        <w:t>projektu</w:t>
      </w:r>
      <w:r w:rsidR="002217E3" w:rsidRPr="00366002">
        <w:rPr>
          <w:rFonts w:ascii="Calibri" w:hAnsi="Calibri" w:cs="Arial"/>
          <w:b/>
          <w:sz w:val="22"/>
          <w:szCs w:val="22"/>
          <w:u w:val="single"/>
        </w:rPr>
        <w:t xml:space="preserve"> :</w:t>
      </w:r>
    </w:p>
    <w:p w14:paraId="37DFD929" w14:textId="374661CE" w:rsidR="00C71BF3" w:rsidRPr="0025603C" w:rsidRDefault="00A75415" w:rsidP="00C71BF3">
      <w:pPr>
        <w:contextualSpacing/>
        <w:jc w:val="both"/>
        <w:rPr>
          <w:rFonts w:asciiTheme="minorHAnsi" w:hAnsiTheme="minorHAnsi"/>
          <w:sz w:val="22"/>
          <w:szCs w:val="22"/>
        </w:rPr>
      </w:pPr>
      <w:r w:rsidRPr="00D16B04">
        <w:rPr>
          <w:rFonts w:ascii="Calibri" w:hAnsi="Calibri" w:cs="Arial"/>
          <w:color w:val="FF0000"/>
          <w:sz w:val="22"/>
          <w:szCs w:val="22"/>
        </w:rPr>
        <w:t xml:space="preserve">  </w:t>
      </w:r>
      <w:r w:rsidR="00D52331" w:rsidRPr="00D16B04">
        <w:rPr>
          <w:rFonts w:ascii="Calibri" w:hAnsi="Calibri" w:cs="Arial"/>
          <w:color w:val="FF0000"/>
          <w:sz w:val="22"/>
          <w:szCs w:val="22"/>
        </w:rPr>
        <w:t xml:space="preserve">  </w:t>
      </w:r>
      <w:r w:rsidR="0025603C" w:rsidRPr="0025603C">
        <w:rPr>
          <w:rFonts w:asciiTheme="minorHAnsi" w:hAnsiTheme="minorHAnsi"/>
          <w:sz w:val="22"/>
          <w:szCs w:val="22"/>
        </w:rPr>
        <w:t>Predmetom tejto časti projektovej dokumentácie je zariadenie</w:t>
      </w:r>
      <w:r w:rsidR="00C71BF3">
        <w:rPr>
          <w:rFonts w:asciiTheme="minorHAnsi" w:hAnsiTheme="minorHAnsi"/>
          <w:sz w:val="22"/>
          <w:szCs w:val="22"/>
        </w:rPr>
        <w:t xml:space="preserve"> kontroly vstupy pre vybrané priestory investora.</w:t>
      </w:r>
    </w:p>
    <w:p w14:paraId="49B91783" w14:textId="088B229F" w:rsidR="00E40A7C" w:rsidRPr="00C71BF3" w:rsidRDefault="00E40A7C" w:rsidP="0025603C">
      <w:pPr>
        <w:contextualSpacing/>
        <w:jc w:val="both"/>
        <w:rPr>
          <w:rFonts w:asciiTheme="minorHAnsi" w:hAnsiTheme="minorHAnsi"/>
          <w:sz w:val="22"/>
          <w:szCs w:val="22"/>
        </w:rPr>
      </w:pPr>
    </w:p>
    <w:p w14:paraId="5CC7C7F7" w14:textId="77777777" w:rsidR="00E40A7C" w:rsidRPr="00366002" w:rsidRDefault="00E40A7C" w:rsidP="00E40A7C">
      <w:pPr>
        <w:contextualSpacing/>
        <w:jc w:val="both"/>
        <w:rPr>
          <w:rFonts w:ascii="Calibri" w:hAnsi="Calibri" w:cs="Arial"/>
          <w:b/>
          <w:sz w:val="22"/>
          <w:szCs w:val="22"/>
          <w:u w:val="single"/>
        </w:rPr>
      </w:pPr>
      <w:r>
        <w:rPr>
          <w:rFonts w:ascii="Calibri" w:hAnsi="Calibri" w:cs="Arial"/>
          <w:b/>
          <w:sz w:val="22"/>
          <w:szCs w:val="22"/>
          <w:u w:val="single"/>
        </w:rPr>
        <w:t>1.2 Podklady</w:t>
      </w:r>
      <w:r w:rsidRPr="00366002">
        <w:rPr>
          <w:rFonts w:ascii="Calibri" w:hAnsi="Calibri" w:cs="Arial"/>
          <w:b/>
          <w:sz w:val="22"/>
          <w:szCs w:val="22"/>
          <w:u w:val="single"/>
        </w:rPr>
        <w:t>:</w:t>
      </w:r>
    </w:p>
    <w:p w14:paraId="774F4497" w14:textId="77777777" w:rsidR="00E40A7C" w:rsidRDefault="00E40A7C" w:rsidP="00E40A7C">
      <w:pPr>
        <w:contextualSpacing/>
        <w:jc w:val="both"/>
        <w:rPr>
          <w:rFonts w:ascii="Calibri" w:hAnsi="Calibri" w:cs="Arial"/>
          <w:sz w:val="22"/>
          <w:szCs w:val="22"/>
        </w:rPr>
      </w:pPr>
      <w:r w:rsidRPr="00D16B04">
        <w:rPr>
          <w:rFonts w:ascii="Calibri" w:hAnsi="Calibri" w:cs="Arial"/>
          <w:color w:val="FF0000"/>
          <w:sz w:val="22"/>
          <w:szCs w:val="22"/>
        </w:rPr>
        <w:t xml:space="preserve">  </w:t>
      </w:r>
      <w:r>
        <w:rPr>
          <w:rFonts w:ascii="Calibri" w:hAnsi="Calibri" w:cs="Arial"/>
          <w:sz w:val="22"/>
          <w:szCs w:val="22"/>
        </w:rPr>
        <w:t>P</w:t>
      </w:r>
      <w:r w:rsidRPr="00445E8B">
        <w:rPr>
          <w:rFonts w:ascii="Calibri" w:hAnsi="Calibri" w:cs="Arial"/>
          <w:sz w:val="22"/>
          <w:szCs w:val="22"/>
        </w:rPr>
        <w:t>o</w:t>
      </w:r>
      <w:r>
        <w:rPr>
          <w:rFonts w:ascii="Calibri" w:hAnsi="Calibri" w:cs="Arial"/>
          <w:sz w:val="22"/>
          <w:szCs w:val="22"/>
        </w:rPr>
        <w:t>dklady pre vypracovanie projektu boli:</w:t>
      </w:r>
    </w:p>
    <w:p w14:paraId="2DBBE49E" w14:textId="0D0E6251" w:rsidR="00E40A7C" w:rsidRPr="00C71BF3" w:rsidRDefault="00E40A7C" w:rsidP="000E7583">
      <w:pPr>
        <w:pStyle w:val="Odsekzoznamu"/>
        <w:numPr>
          <w:ilvl w:val="0"/>
          <w:numId w:val="17"/>
        </w:numPr>
        <w:jc w:val="both"/>
        <w:rPr>
          <w:rFonts w:ascii="Calibri" w:hAnsi="Calibri" w:cs="Arial"/>
          <w:sz w:val="22"/>
          <w:szCs w:val="22"/>
        </w:rPr>
      </w:pPr>
      <w:r w:rsidRPr="00C71BF3">
        <w:rPr>
          <w:rFonts w:ascii="Calibri" w:hAnsi="Calibri" w:cs="Arial"/>
          <w:sz w:val="22"/>
          <w:szCs w:val="22"/>
        </w:rPr>
        <w:t>Technické podmienky výrobcu zariadenia</w:t>
      </w:r>
    </w:p>
    <w:p w14:paraId="1C3E424A" w14:textId="77777777" w:rsidR="00E40A7C" w:rsidRDefault="00702108" w:rsidP="00E40A7C">
      <w:pPr>
        <w:pStyle w:val="Odsekzoznamu"/>
        <w:numPr>
          <w:ilvl w:val="0"/>
          <w:numId w:val="17"/>
        </w:numPr>
        <w:jc w:val="both"/>
        <w:rPr>
          <w:rFonts w:ascii="Calibri" w:hAnsi="Calibri" w:cs="Arial"/>
          <w:sz w:val="22"/>
          <w:szCs w:val="22"/>
        </w:rPr>
      </w:pPr>
      <w:r>
        <w:rPr>
          <w:rFonts w:ascii="Calibri" w:hAnsi="Calibri" w:cs="Arial"/>
          <w:sz w:val="22"/>
          <w:szCs w:val="22"/>
        </w:rPr>
        <w:t>Pôdorysy objektu</w:t>
      </w:r>
    </w:p>
    <w:p w14:paraId="5E117B2D" w14:textId="77777777" w:rsidR="00AF5762" w:rsidRDefault="00AF5762" w:rsidP="00C83F0C">
      <w:pPr>
        <w:jc w:val="both"/>
        <w:rPr>
          <w:rFonts w:ascii="Calibri" w:hAnsi="Calibri" w:cs="Arial"/>
          <w:sz w:val="22"/>
          <w:szCs w:val="22"/>
        </w:rPr>
      </w:pPr>
    </w:p>
    <w:p w14:paraId="5FAF5845" w14:textId="77777777" w:rsidR="00AF5762" w:rsidRDefault="00AF5762" w:rsidP="00486C8E">
      <w:pPr>
        <w:contextualSpacing/>
        <w:jc w:val="both"/>
        <w:rPr>
          <w:rFonts w:ascii="Calibri" w:hAnsi="Calibri" w:cs="Arial"/>
          <w:b/>
          <w:sz w:val="22"/>
          <w:szCs w:val="22"/>
          <w:u w:val="single"/>
        </w:rPr>
      </w:pPr>
      <w:r w:rsidRPr="00AF5762">
        <w:rPr>
          <w:rFonts w:ascii="Calibri" w:hAnsi="Calibri" w:cs="Arial"/>
          <w:b/>
          <w:sz w:val="22"/>
          <w:szCs w:val="22"/>
          <w:u w:val="single"/>
        </w:rPr>
        <w:t>1.</w:t>
      </w:r>
      <w:r w:rsidR="00E40A7C">
        <w:rPr>
          <w:rFonts w:ascii="Calibri" w:hAnsi="Calibri" w:cs="Arial"/>
          <w:b/>
          <w:sz w:val="22"/>
          <w:szCs w:val="22"/>
          <w:u w:val="single"/>
        </w:rPr>
        <w:t>3</w:t>
      </w:r>
      <w:r>
        <w:rPr>
          <w:rFonts w:ascii="Calibri" w:hAnsi="Calibri" w:cs="Arial"/>
          <w:b/>
          <w:sz w:val="22"/>
          <w:szCs w:val="22"/>
          <w:u w:val="single"/>
        </w:rPr>
        <w:t xml:space="preserve"> Predpisy normy</w:t>
      </w:r>
      <w:r w:rsidRPr="00366002">
        <w:rPr>
          <w:rFonts w:ascii="Calibri" w:hAnsi="Calibri" w:cs="Arial"/>
          <w:b/>
          <w:sz w:val="22"/>
          <w:szCs w:val="22"/>
          <w:u w:val="single"/>
        </w:rPr>
        <w:t xml:space="preserve"> :</w:t>
      </w:r>
    </w:p>
    <w:p w14:paraId="64DA309F" w14:textId="77777777" w:rsidR="00AF5762" w:rsidRDefault="003D7CF9" w:rsidP="00486C8E">
      <w:pPr>
        <w:contextualSpacing/>
        <w:jc w:val="both"/>
        <w:rPr>
          <w:rFonts w:ascii="Calibri" w:hAnsi="Calibri" w:cs="Arial"/>
          <w:sz w:val="22"/>
          <w:szCs w:val="22"/>
        </w:rPr>
      </w:pPr>
      <w:r>
        <w:rPr>
          <w:rFonts w:ascii="Calibri" w:hAnsi="Calibri" w:cs="Arial"/>
          <w:sz w:val="22"/>
          <w:szCs w:val="22"/>
        </w:rPr>
        <w:t xml:space="preserve">   </w:t>
      </w:r>
      <w:r w:rsidR="00AF5762">
        <w:rPr>
          <w:rFonts w:ascii="Calibri" w:hAnsi="Calibri" w:cs="Arial"/>
          <w:sz w:val="22"/>
          <w:szCs w:val="22"/>
        </w:rPr>
        <w:t>Pri vypracovaní dokumentácie boli použité normy a predpisy platné v čase vyhotovenia projektu:</w:t>
      </w:r>
    </w:p>
    <w:p w14:paraId="218830A2" w14:textId="77777777" w:rsidR="00645A7B" w:rsidRDefault="00645A7B" w:rsidP="00645A7B">
      <w:pPr>
        <w:contextualSpacing/>
        <w:jc w:val="both"/>
        <w:rPr>
          <w:rFonts w:ascii="Calibri" w:hAnsi="Calibri" w:cs="Arial"/>
          <w:sz w:val="22"/>
          <w:szCs w:val="22"/>
        </w:rPr>
      </w:pPr>
      <w:r>
        <w:rPr>
          <w:rFonts w:ascii="Calibri" w:hAnsi="Calibri" w:cs="Arial"/>
          <w:sz w:val="22"/>
          <w:szCs w:val="22"/>
        </w:rPr>
        <w:t xml:space="preserve">STN 33 2000-4-41: </w:t>
      </w:r>
      <w:r w:rsidRPr="00486C8E">
        <w:rPr>
          <w:rFonts w:ascii="Calibri" w:hAnsi="Calibri" w:cs="Arial"/>
          <w:sz w:val="22"/>
          <w:szCs w:val="22"/>
        </w:rPr>
        <w:t xml:space="preserve">Elektrické inštalácie nízkeho napätia. Časť 4-41: Zaistenie bezpečnosti. Ochrana pred </w:t>
      </w:r>
      <w:r>
        <w:rPr>
          <w:rFonts w:ascii="Calibri" w:hAnsi="Calibri" w:cs="Arial"/>
          <w:sz w:val="22"/>
          <w:szCs w:val="22"/>
        </w:rPr>
        <w:t xml:space="preserve">  </w:t>
      </w:r>
      <w:r w:rsidRPr="00486C8E">
        <w:rPr>
          <w:rFonts w:ascii="Calibri" w:hAnsi="Calibri" w:cs="Arial"/>
          <w:sz w:val="22"/>
          <w:szCs w:val="22"/>
        </w:rPr>
        <w:t>zásahom elektrickým prúdom</w:t>
      </w:r>
    </w:p>
    <w:p w14:paraId="00BE8DC6" w14:textId="77777777" w:rsidR="00645A7B" w:rsidRDefault="00645A7B" w:rsidP="00645A7B">
      <w:pPr>
        <w:contextualSpacing/>
        <w:jc w:val="both"/>
        <w:rPr>
          <w:rFonts w:ascii="Calibri" w:hAnsi="Calibri" w:cs="Arial"/>
          <w:sz w:val="22"/>
          <w:szCs w:val="22"/>
        </w:rPr>
      </w:pPr>
      <w:r>
        <w:rPr>
          <w:rFonts w:ascii="Calibri" w:hAnsi="Calibri" w:cs="Arial"/>
          <w:sz w:val="22"/>
          <w:szCs w:val="22"/>
        </w:rPr>
        <w:t xml:space="preserve">STN 33 2000-1: </w:t>
      </w:r>
      <w:r w:rsidRPr="00BC16B8">
        <w:rPr>
          <w:rFonts w:ascii="Calibri" w:hAnsi="Calibri" w:cs="Arial"/>
          <w:sz w:val="22"/>
          <w:szCs w:val="22"/>
        </w:rPr>
        <w:t>Elektrické inštalácie nízkeho napätia. Časť 1: Základné princípy, stanovenie všeobecných charakteristík, definície</w:t>
      </w:r>
    </w:p>
    <w:p w14:paraId="29518D05" w14:textId="77777777" w:rsidR="00645A7B" w:rsidRDefault="00645A7B" w:rsidP="00645A7B">
      <w:pPr>
        <w:contextualSpacing/>
        <w:jc w:val="both"/>
        <w:rPr>
          <w:rFonts w:ascii="Calibri" w:hAnsi="Calibri" w:cs="Arial"/>
          <w:sz w:val="22"/>
          <w:szCs w:val="22"/>
        </w:rPr>
      </w:pPr>
      <w:r>
        <w:rPr>
          <w:rFonts w:ascii="Calibri" w:hAnsi="Calibri" w:cs="Arial"/>
          <w:sz w:val="22"/>
          <w:szCs w:val="22"/>
        </w:rPr>
        <w:t xml:space="preserve">STN 33 2000-5-51: </w:t>
      </w:r>
      <w:r w:rsidRPr="00BC16B8">
        <w:rPr>
          <w:rFonts w:ascii="Calibri" w:hAnsi="Calibri" w:cs="Arial"/>
          <w:sz w:val="22"/>
          <w:szCs w:val="22"/>
        </w:rPr>
        <w:t>Elektrické inštalácie budov. Časť 5-51: Výber a stavba elektrických zariadení. Spoločné pravidlá</w:t>
      </w:r>
    </w:p>
    <w:p w14:paraId="389BB31D" w14:textId="77777777" w:rsidR="00D52331" w:rsidRDefault="00D52331" w:rsidP="00645A7B">
      <w:pPr>
        <w:contextualSpacing/>
        <w:jc w:val="both"/>
        <w:rPr>
          <w:rFonts w:ascii="Calibri" w:hAnsi="Calibri" w:cs="Arial"/>
          <w:sz w:val="22"/>
          <w:szCs w:val="22"/>
        </w:rPr>
      </w:pPr>
      <w:r>
        <w:rPr>
          <w:rFonts w:ascii="Calibri" w:hAnsi="Calibri" w:cs="Arial"/>
          <w:sz w:val="22"/>
          <w:szCs w:val="22"/>
        </w:rPr>
        <w:t xml:space="preserve">STN 33 2000-5-54: </w:t>
      </w:r>
      <w:r w:rsidRPr="00BC16B8">
        <w:rPr>
          <w:rFonts w:ascii="Calibri" w:hAnsi="Calibri" w:cs="Arial"/>
          <w:sz w:val="22"/>
          <w:szCs w:val="22"/>
        </w:rPr>
        <w:t>Elektrické inštalácie nízkeho napätia. Časť 5-54: Výber a stavba elektrických zariadení. Uzemňovacie sústavy a ochranné vodiče</w:t>
      </w:r>
    </w:p>
    <w:p w14:paraId="48332AA7" w14:textId="77777777" w:rsidR="00645A7B" w:rsidRDefault="00645A7B" w:rsidP="00645A7B">
      <w:pPr>
        <w:contextualSpacing/>
        <w:jc w:val="both"/>
        <w:rPr>
          <w:rFonts w:ascii="Calibri" w:hAnsi="Calibri" w:cs="Arial"/>
          <w:sz w:val="22"/>
          <w:szCs w:val="22"/>
        </w:rPr>
      </w:pPr>
      <w:r>
        <w:rPr>
          <w:rFonts w:ascii="Calibri" w:hAnsi="Calibri" w:cs="Arial"/>
          <w:sz w:val="22"/>
          <w:szCs w:val="22"/>
        </w:rPr>
        <w:t xml:space="preserve">STN EN 60445: </w:t>
      </w:r>
      <w:r w:rsidRPr="00BC16B8">
        <w:rPr>
          <w:rFonts w:ascii="Calibri" w:hAnsi="Calibri" w:cs="Arial"/>
          <w:sz w:val="22"/>
          <w:szCs w:val="22"/>
        </w:rPr>
        <w:t>Základné a bezpečnostné zásady pre rozhranie človek-stroj, označovanie a identifikácia. Identifikácia svoriek zariadení a prípojov vodičov a</w:t>
      </w:r>
      <w:r w:rsidR="00D52331">
        <w:rPr>
          <w:rFonts w:ascii="Calibri" w:hAnsi="Calibri" w:cs="Arial"/>
          <w:sz w:val="22"/>
          <w:szCs w:val="22"/>
        </w:rPr>
        <w:t> </w:t>
      </w:r>
      <w:r w:rsidRPr="00BC16B8">
        <w:rPr>
          <w:rFonts w:ascii="Calibri" w:hAnsi="Calibri" w:cs="Arial"/>
          <w:sz w:val="22"/>
          <w:szCs w:val="22"/>
        </w:rPr>
        <w:t>vodičov</w:t>
      </w:r>
    </w:p>
    <w:p w14:paraId="7D2FFFA6" w14:textId="77777777" w:rsidR="00D52331" w:rsidRPr="00282A12" w:rsidRDefault="00D52331" w:rsidP="00D52331">
      <w:pPr>
        <w:contextualSpacing/>
        <w:jc w:val="both"/>
        <w:rPr>
          <w:rFonts w:ascii="Calibri" w:hAnsi="Calibri"/>
          <w:sz w:val="22"/>
          <w:szCs w:val="22"/>
        </w:rPr>
      </w:pPr>
      <w:r>
        <w:rPr>
          <w:rStyle w:val="formtext"/>
          <w:rFonts w:ascii="Calibri" w:hAnsi="Calibri"/>
          <w:sz w:val="22"/>
          <w:szCs w:val="22"/>
        </w:rPr>
        <w:t>STN 33 2130: Elektrotechnické predpisy. Vnútorné elektrické rozvody.</w:t>
      </w:r>
    </w:p>
    <w:p w14:paraId="356F7E0A" w14:textId="77777777" w:rsidR="00D52331" w:rsidRDefault="00D52331" w:rsidP="00D52331">
      <w:pPr>
        <w:contextualSpacing/>
        <w:jc w:val="both"/>
        <w:rPr>
          <w:rFonts w:ascii="Calibri" w:hAnsi="Calibri" w:cs="Arial"/>
          <w:sz w:val="22"/>
          <w:szCs w:val="22"/>
        </w:rPr>
      </w:pPr>
      <w:r>
        <w:rPr>
          <w:rStyle w:val="formtext"/>
          <w:rFonts w:ascii="Calibri" w:hAnsi="Calibri"/>
          <w:sz w:val="22"/>
          <w:szCs w:val="22"/>
        </w:rPr>
        <w:t xml:space="preserve">STN 33 0110: </w:t>
      </w:r>
      <w:r w:rsidRPr="00EA1693">
        <w:rPr>
          <w:rStyle w:val="formtext"/>
          <w:rFonts w:ascii="Calibri" w:hAnsi="Calibri"/>
          <w:sz w:val="22"/>
          <w:szCs w:val="22"/>
        </w:rPr>
        <w:t>Napäťové pásma pre elektrické inštalácie budov</w:t>
      </w:r>
    </w:p>
    <w:p w14:paraId="11430D7E" w14:textId="77777777" w:rsidR="00D52331" w:rsidRDefault="00D52331" w:rsidP="00D52331">
      <w:pPr>
        <w:contextualSpacing/>
        <w:jc w:val="both"/>
        <w:rPr>
          <w:rStyle w:val="formtext"/>
          <w:rFonts w:ascii="Calibri" w:hAnsi="Calibri"/>
          <w:sz w:val="22"/>
          <w:szCs w:val="22"/>
        </w:rPr>
      </w:pPr>
      <w:r>
        <w:rPr>
          <w:rFonts w:ascii="Calibri" w:hAnsi="Calibri" w:cs="Arial"/>
          <w:sz w:val="22"/>
          <w:szCs w:val="22"/>
        </w:rPr>
        <w:t xml:space="preserve">STN EN 60529: </w:t>
      </w:r>
      <w:r w:rsidRPr="003431E3">
        <w:rPr>
          <w:rStyle w:val="formtext"/>
          <w:rFonts w:ascii="Calibri" w:hAnsi="Calibri"/>
          <w:sz w:val="22"/>
          <w:szCs w:val="22"/>
        </w:rPr>
        <w:t>Stupne ochrany krytom (krytie - IP kód)</w:t>
      </w:r>
    </w:p>
    <w:p w14:paraId="546955AB" w14:textId="77777777" w:rsidR="00D52331" w:rsidRPr="00D52331" w:rsidRDefault="00D52331" w:rsidP="00645A7B">
      <w:pPr>
        <w:contextualSpacing/>
        <w:jc w:val="both"/>
        <w:rPr>
          <w:rFonts w:ascii="Calibri" w:hAnsi="Calibri"/>
          <w:sz w:val="22"/>
          <w:szCs w:val="22"/>
        </w:rPr>
      </w:pPr>
      <w:r w:rsidRPr="003431E3">
        <w:rPr>
          <w:rStyle w:val="formtext"/>
          <w:rFonts w:ascii="Calibri" w:hAnsi="Calibri"/>
          <w:sz w:val="22"/>
          <w:szCs w:val="22"/>
        </w:rPr>
        <w:t>STN EN 50110-1: Prevádzka elektrických inštalácií</w:t>
      </w:r>
    </w:p>
    <w:p w14:paraId="6808521E" w14:textId="77777777" w:rsidR="00BC16B8" w:rsidRDefault="00BC16B8" w:rsidP="00486C8E">
      <w:pPr>
        <w:contextualSpacing/>
        <w:jc w:val="both"/>
        <w:rPr>
          <w:rFonts w:ascii="Calibri" w:hAnsi="Calibri" w:cs="Arial"/>
          <w:sz w:val="22"/>
          <w:szCs w:val="22"/>
        </w:rPr>
      </w:pPr>
      <w:r>
        <w:rPr>
          <w:rFonts w:ascii="Calibri" w:hAnsi="Calibri" w:cs="Arial"/>
          <w:sz w:val="22"/>
          <w:szCs w:val="22"/>
        </w:rPr>
        <w:t xml:space="preserve">STN 33 1500: </w:t>
      </w:r>
      <w:r w:rsidRPr="00BC16B8">
        <w:rPr>
          <w:rFonts w:ascii="Calibri" w:hAnsi="Calibri" w:cs="Arial"/>
          <w:sz w:val="22"/>
          <w:szCs w:val="22"/>
        </w:rPr>
        <w:t>Elektrotechnické predpisy. Revízie elektrických zariadení</w:t>
      </w:r>
    </w:p>
    <w:p w14:paraId="2243304D" w14:textId="77777777" w:rsidR="00BC16B8" w:rsidRDefault="00BC16B8" w:rsidP="003431E3">
      <w:pPr>
        <w:contextualSpacing/>
        <w:jc w:val="both"/>
        <w:rPr>
          <w:rFonts w:ascii="Calibri" w:hAnsi="Calibri" w:cs="Arial"/>
          <w:sz w:val="22"/>
          <w:szCs w:val="22"/>
        </w:rPr>
      </w:pPr>
      <w:r>
        <w:rPr>
          <w:rFonts w:ascii="Calibri" w:hAnsi="Calibri" w:cs="Arial"/>
          <w:sz w:val="22"/>
          <w:szCs w:val="22"/>
        </w:rPr>
        <w:t xml:space="preserve">STN 33 2000-6: </w:t>
      </w:r>
      <w:r w:rsidRPr="00BC16B8">
        <w:rPr>
          <w:rFonts w:ascii="Calibri" w:hAnsi="Calibri" w:cs="Arial"/>
          <w:sz w:val="22"/>
          <w:szCs w:val="22"/>
        </w:rPr>
        <w:t>Elektrické inštalácie nízkeho napätia. Časť 6: Revízia</w:t>
      </w:r>
    </w:p>
    <w:p w14:paraId="06A0C6EE" w14:textId="77777777" w:rsidR="00645A7B" w:rsidRPr="00645A7B" w:rsidRDefault="00645A7B" w:rsidP="003431E3">
      <w:pPr>
        <w:contextualSpacing/>
        <w:jc w:val="both"/>
        <w:rPr>
          <w:rFonts w:ascii="Calibri" w:hAnsi="Calibri"/>
          <w:sz w:val="22"/>
          <w:szCs w:val="22"/>
        </w:rPr>
      </w:pPr>
      <w:r>
        <w:rPr>
          <w:rFonts w:ascii="Calibri" w:hAnsi="Calibri" w:cs="Arial"/>
          <w:sz w:val="22"/>
          <w:szCs w:val="22"/>
        </w:rPr>
        <w:t xml:space="preserve">STN 34 7409: </w:t>
      </w:r>
      <w:r w:rsidRPr="00C754BD">
        <w:rPr>
          <w:rStyle w:val="formtext"/>
          <w:rFonts w:ascii="Calibri" w:hAnsi="Calibri"/>
          <w:sz w:val="22"/>
          <w:szCs w:val="22"/>
        </w:rPr>
        <w:t>Systém označovania káblov a</w:t>
      </w:r>
      <w:r>
        <w:rPr>
          <w:rStyle w:val="formtext"/>
          <w:rFonts w:ascii="Calibri" w:hAnsi="Calibri"/>
          <w:sz w:val="22"/>
          <w:szCs w:val="22"/>
        </w:rPr>
        <w:t> </w:t>
      </w:r>
      <w:r w:rsidRPr="00C754BD">
        <w:rPr>
          <w:rStyle w:val="formtext"/>
          <w:rFonts w:ascii="Calibri" w:hAnsi="Calibri"/>
          <w:sz w:val="22"/>
          <w:szCs w:val="22"/>
        </w:rPr>
        <w:t>vodičov</w:t>
      </w:r>
    </w:p>
    <w:p w14:paraId="2A23E5C9" w14:textId="77777777" w:rsidR="001173A4" w:rsidRDefault="001173A4" w:rsidP="001173A4">
      <w:pPr>
        <w:pStyle w:val="normln1"/>
        <w:jc w:val="both"/>
        <w:rPr>
          <w:rFonts w:ascii="Calibri" w:hAnsi="Calibri" w:cs="Arial"/>
          <w:sz w:val="22"/>
          <w:szCs w:val="22"/>
        </w:rPr>
      </w:pPr>
    </w:p>
    <w:p w14:paraId="21D31D65" w14:textId="18164A0F" w:rsidR="001173A4" w:rsidRDefault="001173A4" w:rsidP="001173A4">
      <w:pPr>
        <w:pStyle w:val="normln1"/>
        <w:jc w:val="both"/>
        <w:rPr>
          <w:rFonts w:ascii="Calibri" w:hAnsi="Calibri" w:cs="Arial"/>
          <w:sz w:val="22"/>
          <w:szCs w:val="22"/>
        </w:rPr>
      </w:pPr>
      <w:r w:rsidRPr="00506446">
        <w:rPr>
          <w:rFonts w:ascii="Calibri" w:hAnsi="Calibri" w:cs="Arial"/>
          <w:sz w:val="22"/>
          <w:szCs w:val="22"/>
        </w:rPr>
        <w:t>Vyhláška č.</w:t>
      </w:r>
      <w:r>
        <w:rPr>
          <w:rFonts w:ascii="Calibri" w:hAnsi="Calibri" w:cs="Arial"/>
          <w:sz w:val="22"/>
          <w:szCs w:val="22"/>
        </w:rPr>
        <w:t xml:space="preserve"> 508</w:t>
      </w:r>
      <w:r w:rsidRPr="00506446">
        <w:rPr>
          <w:rFonts w:ascii="Calibri" w:hAnsi="Calibri" w:cs="Arial"/>
          <w:sz w:val="22"/>
          <w:szCs w:val="22"/>
        </w:rPr>
        <w:t>/</w:t>
      </w:r>
      <w:r>
        <w:rPr>
          <w:rFonts w:ascii="Calibri" w:hAnsi="Calibri" w:cs="Arial"/>
          <w:sz w:val="22"/>
          <w:szCs w:val="22"/>
        </w:rPr>
        <w:t>2009</w:t>
      </w:r>
      <w:r w:rsidRPr="00506446">
        <w:rPr>
          <w:rFonts w:ascii="Calibri" w:hAnsi="Calibri" w:cs="Arial"/>
          <w:sz w:val="22"/>
          <w:szCs w:val="22"/>
        </w:rPr>
        <w:t xml:space="preserve"> Z.z </w:t>
      </w:r>
      <w:r>
        <w:rPr>
          <w:rFonts w:ascii="Calibri" w:hAnsi="Calibri" w:cs="Arial"/>
          <w:sz w:val="22"/>
          <w:szCs w:val="22"/>
        </w:rPr>
        <w:t>ktorou sa ustanovujú podrobnosti na zaistenie bezpečnosti a ochrany zdravia pri práci s technickými zariadeniami tlakovými, zdvíhacími, elektrickými a plynovými a ktorou sa ustanovujú technické zariadenia, ktoré sa považujú za vyhradené technické zariadenia.</w:t>
      </w:r>
    </w:p>
    <w:p w14:paraId="2CC9380B" w14:textId="77777777" w:rsidR="00E40A7C" w:rsidRDefault="00E40A7C" w:rsidP="00E40A7C">
      <w:pPr>
        <w:ind w:right="567"/>
        <w:rPr>
          <w:rFonts w:asciiTheme="minorHAnsi" w:hAnsiTheme="minorHAnsi"/>
          <w:sz w:val="22"/>
          <w:szCs w:val="22"/>
        </w:rPr>
      </w:pPr>
    </w:p>
    <w:p w14:paraId="16ABDF78" w14:textId="35831F8E" w:rsidR="00617984" w:rsidRPr="001173A4" w:rsidRDefault="00E40A7C" w:rsidP="001173A4">
      <w:pPr>
        <w:ind w:right="567"/>
        <w:rPr>
          <w:rFonts w:asciiTheme="minorHAnsi" w:hAnsiTheme="minorHAnsi"/>
          <w:sz w:val="22"/>
          <w:szCs w:val="22"/>
        </w:rPr>
      </w:pPr>
      <w:r w:rsidRPr="00E40A7C">
        <w:rPr>
          <w:rFonts w:asciiTheme="minorHAnsi" w:hAnsiTheme="minorHAnsi"/>
          <w:sz w:val="22"/>
          <w:szCs w:val="22"/>
        </w:rPr>
        <w:t xml:space="preserve">  </w:t>
      </w:r>
      <w:r w:rsidR="00617984" w:rsidRPr="00617984">
        <w:rPr>
          <w:rFonts w:asciiTheme="minorHAnsi" w:hAnsiTheme="minorHAnsi"/>
          <w:b/>
          <w:sz w:val="22"/>
          <w:szCs w:val="22"/>
          <w:u w:val="single"/>
        </w:rPr>
        <w:t>1.</w:t>
      </w:r>
      <w:r w:rsidR="001173A4">
        <w:rPr>
          <w:rFonts w:asciiTheme="minorHAnsi" w:hAnsiTheme="minorHAnsi"/>
          <w:b/>
          <w:sz w:val="22"/>
          <w:szCs w:val="22"/>
          <w:u w:val="single"/>
        </w:rPr>
        <w:t>4</w:t>
      </w:r>
      <w:r w:rsidR="00617984" w:rsidRPr="00617984">
        <w:rPr>
          <w:rFonts w:asciiTheme="minorHAnsi" w:hAnsiTheme="minorHAnsi"/>
          <w:b/>
          <w:sz w:val="22"/>
          <w:szCs w:val="22"/>
          <w:u w:val="single"/>
        </w:rPr>
        <w:t xml:space="preserve"> Upozornenie projektanta:</w:t>
      </w:r>
    </w:p>
    <w:p w14:paraId="5AA8CE17" w14:textId="77777777" w:rsidR="006F7EC2" w:rsidRDefault="00617984" w:rsidP="00645A7B">
      <w:pPr>
        <w:ind w:right="567" w:firstLine="567"/>
        <w:contextualSpacing/>
        <w:rPr>
          <w:rFonts w:asciiTheme="minorHAnsi" w:hAnsiTheme="minorHAnsi"/>
          <w:sz w:val="22"/>
          <w:szCs w:val="22"/>
        </w:rPr>
      </w:pPr>
      <w:r w:rsidRPr="00617984">
        <w:rPr>
          <w:rFonts w:asciiTheme="minorHAnsi" w:hAnsiTheme="minorHAnsi"/>
          <w:sz w:val="22"/>
          <w:szCs w:val="22"/>
        </w:rPr>
        <w:t xml:space="preserve">Predmet zákazky v celom rozsahu je opísaný tak, aby bol presne a zrozumiteľne špecifikovaný. Ak niektorý z použitých parametrov, alebo rozpätie parametrov identifikuje konkrétny typ výrobku, alebo </w:t>
      </w:r>
    </w:p>
    <w:p w14:paraId="18F73DD9" w14:textId="77777777" w:rsidR="00617984" w:rsidRPr="00617984" w:rsidRDefault="00617984" w:rsidP="006F7EC2">
      <w:pPr>
        <w:ind w:right="567"/>
        <w:contextualSpacing/>
        <w:rPr>
          <w:rFonts w:asciiTheme="minorHAnsi" w:hAnsiTheme="minorHAnsi"/>
          <w:sz w:val="22"/>
          <w:szCs w:val="22"/>
        </w:rPr>
      </w:pPr>
      <w:r w:rsidRPr="00617984">
        <w:rPr>
          <w:rFonts w:asciiTheme="minorHAnsi" w:hAnsiTheme="minorHAnsi"/>
          <w:sz w:val="22"/>
          <w:szCs w:val="22"/>
        </w:rPr>
        <w:t>výrobok konkrétneho výrobcu, verejný obstarávateľ umožní nahradiť takýto výrobok ekvivalentným výrobkom alebo ekvivalentom technického riešenia pod podmienkou, že ekvivalentný výrobok alebo ekvivalentné technické riešenie bude spĺňať úžitkové, prevádzkové a funkčné charakteristiky, ktoré sú nevyhnutné na zabezpečenie účelu, na ktoré sú uvedené technológie a zariadenia určené. Pri výrobkoch, príslušenstvách konkrétnej značky, uchádzač môže predložiť aj ekvivalenty inej značky v rovnakej alebo vyššej kvalite. Zároveň uvedie presné parametre, vlastnosti atď., aby mohol verejný obstarávateľ posúdiť, či ponúkané riešenie bude spĺňať úžitkové, prevádzkové a funkčné charakteristiky, ktoré sú nevyhnutné na zabezpečenie účelu, na ktoré sú uvedené výrobky určené a či sú v rovnakej alebo vyššej kvalite ako tie, ktoré boli uvedené v týchto súťažných podkladoch.</w:t>
      </w:r>
    </w:p>
    <w:p w14:paraId="600C5A1D" w14:textId="77777777" w:rsidR="005E5AAC" w:rsidRDefault="005E5AAC">
      <w:pPr>
        <w:rPr>
          <w:rFonts w:ascii="Calibri" w:hAnsi="Calibri" w:cs="Arial"/>
          <w:b/>
          <w:sz w:val="22"/>
          <w:szCs w:val="22"/>
          <w:u w:val="single"/>
        </w:rPr>
      </w:pPr>
    </w:p>
    <w:p w14:paraId="54E9F1C9" w14:textId="77777777" w:rsidR="002217E3" w:rsidRDefault="00FF39E9" w:rsidP="00FF39E9">
      <w:pPr>
        <w:contextualSpacing/>
        <w:rPr>
          <w:rFonts w:ascii="Calibri" w:hAnsi="Calibri" w:cs="Arial"/>
          <w:b/>
          <w:sz w:val="28"/>
          <w:szCs w:val="28"/>
          <w:u w:val="single"/>
        </w:rPr>
      </w:pPr>
      <w:r w:rsidRPr="00FF39E9">
        <w:rPr>
          <w:rFonts w:ascii="Calibri" w:hAnsi="Calibri" w:cs="Arial"/>
          <w:b/>
          <w:sz w:val="28"/>
          <w:szCs w:val="28"/>
          <w:u w:val="single"/>
        </w:rPr>
        <w:t>2.</w:t>
      </w:r>
      <w:r>
        <w:rPr>
          <w:rFonts w:ascii="Calibri" w:hAnsi="Calibri" w:cs="Arial"/>
          <w:b/>
          <w:sz w:val="28"/>
          <w:szCs w:val="28"/>
          <w:u w:val="single"/>
        </w:rPr>
        <w:t xml:space="preserve"> </w:t>
      </w:r>
      <w:r w:rsidR="003431E3">
        <w:rPr>
          <w:rFonts w:ascii="Calibri" w:hAnsi="Calibri" w:cs="Arial"/>
          <w:b/>
          <w:sz w:val="28"/>
          <w:szCs w:val="28"/>
          <w:u w:val="single"/>
        </w:rPr>
        <w:t>TECHNICKÉ ÚDAJE</w:t>
      </w:r>
      <w:r w:rsidR="002217E3" w:rsidRPr="00366002">
        <w:rPr>
          <w:rFonts w:ascii="Calibri" w:hAnsi="Calibri" w:cs="Arial"/>
          <w:b/>
          <w:sz w:val="28"/>
          <w:szCs w:val="28"/>
          <w:u w:val="single"/>
        </w:rPr>
        <w:t xml:space="preserve"> :</w:t>
      </w:r>
    </w:p>
    <w:p w14:paraId="765BAA21" w14:textId="77777777" w:rsidR="00645A7B" w:rsidRPr="001B4692" w:rsidRDefault="00645A7B" w:rsidP="00645A7B">
      <w:pPr>
        <w:contextualSpacing/>
        <w:rPr>
          <w:rFonts w:ascii="Calibri" w:hAnsi="Calibri" w:cs="Arial"/>
          <w:color w:val="FF0000"/>
          <w:sz w:val="22"/>
          <w:szCs w:val="22"/>
        </w:rPr>
      </w:pPr>
    </w:p>
    <w:p w14:paraId="359AB158" w14:textId="78C12C77" w:rsidR="00645A7B" w:rsidRPr="00486EF6" w:rsidRDefault="00645A7B" w:rsidP="00645A7B">
      <w:pPr>
        <w:contextualSpacing/>
        <w:rPr>
          <w:rFonts w:ascii="Calibri" w:hAnsi="Calibri" w:cs="Arial"/>
          <w:b/>
          <w:sz w:val="22"/>
          <w:szCs w:val="22"/>
          <w:u w:val="single"/>
        </w:rPr>
      </w:pPr>
      <w:r w:rsidRPr="00486EF6">
        <w:rPr>
          <w:rFonts w:ascii="Calibri" w:hAnsi="Calibri" w:cs="Arial"/>
          <w:b/>
          <w:sz w:val="22"/>
          <w:szCs w:val="22"/>
          <w:u w:val="single"/>
        </w:rPr>
        <w:t>2.</w:t>
      </w:r>
      <w:r w:rsidR="001173A4">
        <w:rPr>
          <w:rFonts w:ascii="Calibri" w:hAnsi="Calibri" w:cs="Arial"/>
          <w:b/>
          <w:sz w:val="22"/>
          <w:szCs w:val="22"/>
          <w:u w:val="single"/>
        </w:rPr>
        <w:t>1</w:t>
      </w:r>
      <w:r w:rsidRPr="00486EF6">
        <w:rPr>
          <w:rFonts w:ascii="Calibri" w:hAnsi="Calibri" w:cs="Arial"/>
          <w:b/>
          <w:sz w:val="22"/>
          <w:szCs w:val="22"/>
          <w:u w:val="single"/>
        </w:rPr>
        <w:t xml:space="preserve"> Ochrana pred </w:t>
      </w:r>
      <w:r w:rsidR="003D4D89" w:rsidRPr="00486EF6">
        <w:rPr>
          <w:rFonts w:ascii="Calibri" w:hAnsi="Calibri" w:cs="Arial"/>
          <w:b/>
          <w:sz w:val="22"/>
          <w:szCs w:val="22"/>
          <w:u w:val="single"/>
        </w:rPr>
        <w:t>zásahom</w:t>
      </w:r>
      <w:r w:rsidRPr="00486EF6">
        <w:rPr>
          <w:rFonts w:ascii="Calibri" w:hAnsi="Calibri" w:cs="Arial"/>
          <w:b/>
          <w:sz w:val="22"/>
          <w:szCs w:val="22"/>
          <w:u w:val="single"/>
        </w:rPr>
        <w:t xml:space="preserve"> elektrickým prúdom:</w:t>
      </w:r>
    </w:p>
    <w:p w14:paraId="0A925277" w14:textId="77777777" w:rsidR="00645A7B" w:rsidRPr="00486EF6" w:rsidRDefault="00645A7B" w:rsidP="00645A7B">
      <w:pPr>
        <w:pStyle w:val="pavel"/>
        <w:spacing w:line="240" w:lineRule="auto"/>
        <w:ind w:firstLine="142"/>
        <w:contextualSpacing/>
        <w:rPr>
          <w:rFonts w:asciiTheme="minorHAnsi" w:hAnsiTheme="minorHAnsi" w:cs="Arial"/>
          <w:bCs/>
          <w:sz w:val="22"/>
          <w:szCs w:val="22"/>
        </w:rPr>
      </w:pPr>
      <w:r w:rsidRPr="00486EF6">
        <w:rPr>
          <w:rFonts w:asciiTheme="minorHAnsi" w:hAnsiTheme="minorHAnsi" w:cs="Arial"/>
          <w:bCs/>
          <w:sz w:val="22"/>
          <w:szCs w:val="22"/>
        </w:rPr>
        <w:t>V zmysle STN 33 2000-4-41 Elektrické inštalácie nízkeho napätia, časť 4-41: Zaistenie bezpečnosti. Ochrana pre</w:t>
      </w:r>
      <w:r w:rsidR="003D4D89" w:rsidRPr="00486EF6">
        <w:rPr>
          <w:rFonts w:asciiTheme="minorHAnsi" w:hAnsiTheme="minorHAnsi" w:cs="Arial"/>
          <w:bCs/>
          <w:sz w:val="22"/>
          <w:szCs w:val="22"/>
        </w:rPr>
        <w:t>d</w:t>
      </w:r>
      <w:r w:rsidRPr="00486EF6">
        <w:rPr>
          <w:rFonts w:asciiTheme="minorHAnsi" w:hAnsiTheme="minorHAnsi" w:cs="Arial"/>
          <w:bCs/>
          <w:sz w:val="22"/>
          <w:szCs w:val="22"/>
        </w:rPr>
        <w:t xml:space="preserve"> zásahom elektrickým prúdom“ je navrhnutá základná ochrana:   </w:t>
      </w:r>
    </w:p>
    <w:p w14:paraId="2A725C60" w14:textId="77777777" w:rsidR="00645A7B" w:rsidRPr="00486EF6" w:rsidRDefault="00645A7B" w:rsidP="00645A7B">
      <w:pPr>
        <w:pStyle w:val="pavel"/>
        <w:spacing w:line="240" w:lineRule="auto"/>
        <w:contextualSpacing/>
        <w:rPr>
          <w:rFonts w:asciiTheme="minorHAnsi" w:hAnsiTheme="minorHAnsi" w:cs="Arial"/>
          <w:bCs/>
          <w:sz w:val="22"/>
          <w:szCs w:val="22"/>
        </w:rPr>
      </w:pPr>
      <w:r w:rsidRPr="00486EF6">
        <w:rPr>
          <w:rFonts w:asciiTheme="minorHAnsi" w:hAnsiTheme="minorHAnsi" w:cs="Arial"/>
          <w:bCs/>
          <w:sz w:val="22"/>
          <w:szCs w:val="22"/>
        </w:rPr>
        <w:t>- podľa prílohy A, kapitola A.1: Základná izolácia živých častí</w:t>
      </w:r>
    </w:p>
    <w:p w14:paraId="004E8ABF" w14:textId="77777777" w:rsidR="00645A7B" w:rsidRPr="00486EF6" w:rsidRDefault="00645A7B" w:rsidP="00645A7B">
      <w:pPr>
        <w:pStyle w:val="pavel"/>
        <w:spacing w:line="240" w:lineRule="auto"/>
        <w:contextualSpacing/>
        <w:rPr>
          <w:rFonts w:asciiTheme="minorHAnsi" w:hAnsiTheme="minorHAnsi" w:cs="Arial"/>
          <w:bCs/>
          <w:sz w:val="22"/>
          <w:szCs w:val="22"/>
        </w:rPr>
      </w:pPr>
      <w:r w:rsidRPr="00486EF6">
        <w:rPr>
          <w:rFonts w:asciiTheme="minorHAnsi" w:hAnsiTheme="minorHAnsi" w:cs="Arial"/>
          <w:bCs/>
          <w:sz w:val="22"/>
          <w:szCs w:val="22"/>
        </w:rPr>
        <w:t>- podľa prílohy A, kapitola A.2: Zábrany a</w:t>
      </w:r>
      <w:r w:rsidR="00F96500" w:rsidRPr="00486EF6">
        <w:rPr>
          <w:rFonts w:asciiTheme="minorHAnsi" w:hAnsiTheme="minorHAnsi" w:cs="Arial"/>
          <w:bCs/>
          <w:sz w:val="22"/>
          <w:szCs w:val="22"/>
        </w:rPr>
        <w:t> </w:t>
      </w:r>
      <w:r w:rsidRPr="00486EF6">
        <w:rPr>
          <w:rFonts w:asciiTheme="minorHAnsi" w:hAnsiTheme="minorHAnsi" w:cs="Arial"/>
          <w:bCs/>
          <w:sz w:val="22"/>
          <w:szCs w:val="22"/>
        </w:rPr>
        <w:t>kryty</w:t>
      </w:r>
    </w:p>
    <w:p w14:paraId="602D79E2" w14:textId="77777777" w:rsidR="003D4D89" w:rsidRPr="00486EF6" w:rsidRDefault="00F96500" w:rsidP="00645A7B">
      <w:pPr>
        <w:pStyle w:val="pavel"/>
        <w:spacing w:line="240" w:lineRule="auto"/>
        <w:contextualSpacing/>
        <w:rPr>
          <w:rFonts w:asciiTheme="minorHAnsi" w:hAnsiTheme="minorHAnsi" w:cs="Arial"/>
          <w:bCs/>
          <w:sz w:val="22"/>
          <w:szCs w:val="22"/>
        </w:rPr>
      </w:pPr>
      <w:r w:rsidRPr="00486EF6">
        <w:rPr>
          <w:rFonts w:asciiTheme="minorHAnsi" w:hAnsiTheme="minorHAnsi" w:cs="Arial"/>
          <w:bCs/>
          <w:sz w:val="22"/>
          <w:szCs w:val="22"/>
        </w:rPr>
        <w:t>- ochranné opatrenie: dvojitá alebo zosilnená izolácia podľa článku 412.</w:t>
      </w:r>
    </w:p>
    <w:p w14:paraId="4BA9AB4B" w14:textId="77777777" w:rsidR="00486EF6" w:rsidRDefault="00486EF6" w:rsidP="00645A7B">
      <w:pPr>
        <w:pStyle w:val="pavel"/>
        <w:spacing w:line="240" w:lineRule="auto"/>
        <w:contextualSpacing/>
        <w:rPr>
          <w:rFonts w:asciiTheme="minorHAnsi" w:hAnsiTheme="minorHAnsi" w:cs="Arial"/>
          <w:bCs/>
          <w:sz w:val="22"/>
          <w:szCs w:val="22"/>
        </w:rPr>
      </w:pPr>
      <w:r w:rsidRPr="00486EF6">
        <w:rPr>
          <w:rFonts w:asciiTheme="minorHAnsi" w:hAnsiTheme="minorHAnsi" w:cs="Arial"/>
          <w:bCs/>
          <w:sz w:val="22"/>
          <w:szCs w:val="22"/>
        </w:rPr>
        <w:t>- ochranné opatrenie: malé napätie SELV a PELV podľa článku 414.</w:t>
      </w:r>
    </w:p>
    <w:p w14:paraId="471D3C74" w14:textId="77777777" w:rsidR="00486EF6" w:rsidRPr="00486EF6" w:rsidRDefault="00486EF6" w:rsidP="00645A7B">
      <w:pPr>
        <w:pStyle w:val="pavel"/>
        <w:spacing w:line="240" w:lineRule="auto"/>
        <w:contextualSpacing/>
        <w:rPr>
          <w:rFonts w:asciiTheme="minorHAnsi" w:hAnsiTheme="minorHAnsi" w:cs="Arial"/>
          <w:bCs/>
          <w:sz w:val="22"/>
          <w:szCs w:val="22"/>
        </w:rPr>
      </w:pPr>
    </w:p>
    <w:p w14:paraId="47A510AC" w14:textId="77777777" w:rsidR="00645A7B" w:rsidRPr="00486EF6" w:rsidRDefault="00645A7B" w:rsidP="00645A7B">
      <w:pPr>
        <w:pStyle w:val="pavel"/>
        <w:spacing w:line="240" w:lineRule="auto"/>
        <w:ind w:firstLine="142"/>
        <w:contextualSpacing/>
        <w:rPr>
          <w:rFonts w:asciiTheme="minorHAnsi" w:hAnsiTheme="minorHAnsi" w:cs="Arial"/>
          <w:bCs/>
          <w:sz w:val="22"/>
          <w:szCs w:val="22"/>
        </w:rPr>
      </w:pPr>
      <w:r w:rsidRPr="00486EF6">
        <w:rPr>
          <w:rFonts w:asciiTheme="minorHAnsi" w:hAnsiTheme="minorHAnsi" w:cs="Arial"/>
          <w:bCs/>
          <w:sz w:val="22"/>
          <w:szCs w:val="22"/>
        </w:rPr>
        <w:t>V zmysle STN 33 2000-4-41 Elektrické inštalácie nízkeho napätia, časť 4-41: Zaistenie bezpečnosti. Ochrana pred zásahom elektrickým prúdom“ je navrhnutá ochrana pri poruche:</w:t>
      </w:r>
    </w:p>
    <w:p w14:paraId="227D6ADB" w14:textId="77777777" w:rsidR="00645A7B" w:rsidRPr="00486EF6" w:rsidRDefault="00645A7B" w:rsidP="00645A7B">
      <w:pPr>
        <w:pStyle w:val="pavel"/>
        <w:spacing w:line="240" w:lineRule="auto"/>
        <w:contextualSpacing/>
        <w:rPr>
          <w:rFonts w:asciiTheme="minorHAnsi" w:hAnsiTheme="minorHAnsi" w:cs="Arial"/>
          <w:bCs/>
          <w:sz w:val="22"/>
          <w:szCs w:val="22"/>
        </w:rPr>
      </w:pPr>
      <w:r w:rsidRPr="00486EF6">
        <w:rPr>
          <w:rFonts w:asciiTheme="minorHAnsi" w:hAnsiTheme="minorHAnsi" w:cs="Arial"/>
          <w:bCs/>
          <w:sz w:val="22"/>
          <w:szCs w:val="22"/>
        </w:rPr>
        <w:t>- samočinným odpojením pri poruche podľa článku 411.3.2</w:t>
      </w:r>
    </w:p>
    <w:p w14:paraId="40791B44" w14:textId="77777777" w:rsidR="00F96500" w:rsidRPr="00486EF6" w:rsidRDefault="00645A7B" w:rsidP="00645A7B">
      <w:pPr>
        <w:pStyle w:val="Pta"/>
        <w:tabs>
          <w:tab w:val="left" w:pos="708"/>
        </w:tabs>
        <w:contextualSpacing/>
        <w:rPr>
          <w:rFonts w:asciiTheme="minorHAnsi" w:hAnsiTheme="minorHAnsi" w:cs="Arial"/>
          <w:sz w:val="22"/>
          <w:szCs w:val="22"/>
        </w:rPr>
      </w:pPr>
      <w:r w:rsidRPr="00486EF6">
        <w:rPr>
          <w:rFonts w:asciiTheme="minorHAnsi" w:hAnsiTheme="minorHAnsi" w:cs="Arial"/>
          <w:sz w:val="22"/>
          <w:szCs w:val="22"/>
        </w:rPr>
        <w:t>- ochranné uzemnenie a ochranné pospájanie podľa článku 411.3.1</w:t>
      </w:r>
    </w:p>
    <w:p w14:paraId="0117D307" w14:textId="77777777" w:rsidR="00F96500" w:rsidRPr="00486EF6" w:rsidRDefault="00F96500" w:rsidP="00F96500">
      <w:pPr>
        <w:pStyle w:val="pavel"/>
        <w:spacing w:line="240" w:lineRule="auto"/>
        <w:contextualSpacing/>
        <w:rPr>
          <w:rFonts w:asciiTheme="minorHAnsi" w:hAnsiTheme="minorHAnsi" w:cs="Arial"/>
          <w:bCs/>
          <w:sz w:val="22"/>
          <w:szCs w:val="22"/>
        </w:rPr>
      </w:pPr>
      <w:r w:rsidRPr="00486EF6">
        <w:rPr>
          <w:rFonts w:asciiTheme="minorHAnsi" w:hAnsiTheme="minorHAnsi" w:cs="Arial"/>
          <w:bCs/>
          <w:sz w:val="22"/>
          <w:szCs w:val="22"/>
        </w:rPr>
        <w:t>- ochranné opatrenie: dvojitá alebo zosilnená izolácia podľa článku 412.</w:t>
      </w:r>
    </w:p>
    <w:p w14:paraId="0A07666C" w14:textId="77777777" w:rsidR="00486EF6" w:rsidRPr="00486EF6" w:rsidRDefault="00486EF6" w:rsidP="00486EF6">
      <w:pPr>
        <w:pStyle w:val="pavel"/>
        <w:spacing w:line="240" w:lineRule="auto"/>
        <w:contextualSpacing/>
        <w:rPr>
          <w:rFonts w:asciiTheme="minorHAnsi" w:hAnsiTheme="minorHAnsi" w:cs="Arial"/>
          <w:bCs/>
          <w:sz w:val="22"/>
          <w:szCs w:val="22"/>
        </w:rPr>
      </w:pPr>
      <w:r w:rsidRPr="00486EF6">
        <w:rPr>
          <w:rFonts w:asciiTheme="minorHAnsi" w:hAnsiTheme="minorHAnsi" w:cs="Arial"/>
          <w:bCs/>
          <w:sz w:val="22"/>
          <w:szCs w:val="22"/>
        </w:rPr>
        <w:t>- ochranné opatrenie: malé napätie SELV a PELV podľa článku 414.</w:t>
      </w:r>
    </w:p>
    <w:p w14:paraId="58F0FD86" w14:textId="5F2B9DAE" w:rsidR="00F96500" w:rsidRDefault="00F96500" w:rsidP="00645A7B">
      <w:pPr>
        <w:pStyle w:val="Pta"/>
        <w:tabs>
          <w:tab w:val="left" w:pos="708"/>
        </w:tabs>
        <w:contextualSpacing/>
        <w:rPr>
          <w:rFonts w:asciiTheme="minorHAnsi" w:hAnsiTheme="minorHAnsi" w:cs="Arial"/>
          <w:sz w:val="22"/>
          <w:szCs w:val="22"/>
        </w:rPr>
      </w:pPr>
    </w:p>
    <w:p w14:paraId="528A5439" w14:textId="77777777" w:rsidR="001173A4" w:rsidRPr="00FB72FD" w:rsidRDefault="001173A4" w:rsidP="001173A4">
      <w:pPr>
        <w:contextualSpacing/>
        <w:rPr>
          <w:rFonts w:ascii="Calibri" w:hAnsi="Calibri" w:cs="Arial"/>
          <w:b/>
          <w:sz w:val="22"/>
          <w:szCs w:val="22"/>
          <w:u w:val="single"/>
        </w:rPr>
      </w:pPr>
      <w:r>
        <w:rPr>
          <w:rFonts w:ascii="Calibri" w:hAnsi="Calibri" w:cs="Arial"/>
          <w:b/>
          <w:sz w:val="22"/>
          <w:szCs w:val="22"/>
          <w:u w:val="single"/>
        </w:rPr>
        <w:t>2.2 Začlenenie elektrických</w:t>
      </w:r>
      <w:r w:rsidRPr="00FB72FD">
        <w:rPr>
          <w:rFonts w:ascii="Calibri" w:hAnsi="Calibri" w:cs="Arial"/>
          <w:b/>
          <w:sz w:val="22"/>
          <w:szCs w:val="22"/>
          <w:u w:val="single"/>
        </w:rPr>
        <w:t xml:space="preserve"> zariadení podľa miery ohrozenia:</w:t>
      </w:r>
    </w:p>
    <w:p w14:paraId="1FCE010D" w14:textId="77777777" w:rsidR="001173A4" w:rsidRPr="00FB72FD" w:rsidRDefault="001173A4" w:rsidP="001173A4">
      <w:pPr>
        <w:contextualSpacing/>
        <w:rPr>
          <w:rFonts w:ascii="Calibri" w:hAnsi="Calibri" w:cs="Arial"/>
          <w:sz w:val="22"/>
          <w:szCs w:val="22"/>
        </w:rPr>
      </w:pPr>
      <w:r>
        <w:rPr>
          <w:rFonts w:ascii="Calibri" w:hAnsi="Calibri" w:cs="Arial"/>
          <w:sz w:val="22"/>
          <w:szCs w:val="22"/>
        </w:rPr>
        <w:t xml:space="preserve">   </w:t>
      </w:r>
      <w:r w:rsidRPr="00FB72FD">
        <w:rPr>
          <w:rFonts w:ascii="Calibri" w:hAnsi="Calibri" w:cs="Arial"/>
          <w:sz w:val="22"/>
          <w:szCs w:val="22"/>
        </w:rPr>
        <w:t xml:space="preserve">V zmysle vyhlášky MPSVaR SR č.508/2009 Z. z., Príloha č.1, III. Časť sú podľa miery ohrozenia zaradené technické zariadenia elektrické nasledovne: </w:t>
      </w:r>
    </w:p>
    <w:p w14:paraId="3D0B0A3E" w14:textId="7FC69732" w:rsidR="001173A4" w:rsidRPr="00FB72FD" w:rsidRDefault="001173A4" w:rsidP="001173A4">
      <w:pPr>
        <w:contextualSpacing/>
        <w:rPr>
          <w:rFonts w:ascii="Calibri" w:hAnsi="Calibri" w:cs="Arial"/>
          <w:b/>
          <w:sz w:val="22"/>
          <w:szCs w:val="22"/>
        </w:rPr>
      </w:pPr>
      <w:r w:rsidRPr="00FB72FD">
        <w:rPr>
          <w:rFonts w:ascii="Calibri" w:hAnsi="Calibri" w:cs="Arial"/>
          <w:b/>
          <w:sz w:val="22"/>
          <w:szCs w:val="22"/>
        </w:rPr>
        <w:t>Technické zariadenia elektrické skupiny „</w:t>
      </w:r>
      <w:r>
        <w:rPr>
          <w:rFonts w:ascii="Calibri" w:hAnsi="Calibri" w:cs="Arial"/>
          <w:b/>
          <w:sz w:val="22"/>
          <w:szCs w:val="22"/>
        </w:rPr>
        <w:t>C</w:t>
      </w:r>
      <w:r w:rsidRPr="00FB72FD">
        <w:rPr>
          <w:rFonts w:ascii="Calibri" w:hAnsi="Calibri" w:cs="Arial"/>
          <w:b/>
          <w:sz w:val="22"/>
          <w:szCs w:val="22"/>
        </w:rPr>
        <w:t>“</w:t>
      </w:r>
    </w:p>
    <w:p w14:paraId="45EB24DC" w14:textId="77777777" w:rsidR="00553CD2" w:rsidRDefault="00553CD2" w:rsidP="00645A7B">
      <w:pPr>
        <w:pStyle w:val="Pta"/>
        <w:tabs>
          <w:tab w:val="left" w:pos="708"/>
        </w:tabs>
        <w:contextualSpacing/>
        <w:rPr>
          <w:rFonts w:asciiTheme="minorHAnsi" w:hAnsiTheme="minorHAnsi" w:cs="Arial"/>
          <w:sz w:val="22"/>
          <w:szCs w:val="22"/>
        </w:rPr>
      </w:pPr>
    </w:p>
    <w:p w14:paraId="303ADD2D" w14:textId="77777777" w:rsidR="00F96500" w:rsidRPr="003B24AF" w:rsidRDefault="00F96500" w:rsidP="00F96500">
      <w:pPr>
        <w:ind w:right="567"/>
        <w:rPr>
          <w:rFonts w:asciiTheme="minorHAnsi" w:hAnsiTheme="minorHAnsi"/>
          <w:b/>
          <w:sz w:val="22"/>
          <w:szCs w:val="22"/>
          <w:u w:val="single"/>
        </w:rPr>
      </w:pPr>
      <w:r w:rsidRPr="003B24AF">
        <w:rPr>
          <w:rFonts w:asciiTheme="minorHAnsi" w:hAnsiTheme="minorHAnsi"/>
          <w:b/>
          <w:sz w:val="22"/>
          <w:szCs w:val="22"/>
          <w:u w:val="single"/>
        </w:rPr>
        <w:t>2.3 Prostredie:</w:t>
      </w:r>
    </w:p>
    <w:p w14:paraId="0E4A71BE" w14:textId="334F8AE9" w:rsidR="003608FF" w:rsidRDefault="00F96500" w:rsidP="001173A4">
      <w:pPr>
        <w:ind w:right="567"/>
        <w:rPr>
          <w:rFonts w:asciiTheme="minorHAnsi" w:hAnsiTheme="minorHAnsi"/>
          <w:sz w:val="22"/>
          <w:szCs w:val="22"/>
        </w:rPr>
      </w:pPr>
      <w:r>
        <w:rPr>
          <w:rFonts w:asciiTheme="minorHAnsi" w:hAnsiTheme="minorHAnsi"/>
          <w:sz w:val="22"/>
          <w:szCs w:val="22"/>
        </w:rPr>
        <w:t xml:space="preserve">   </w:t>
      </w:r>
      <w:bookmarkStart w:id="0" w:name="_Hlk52824568"/>
      <w:r w:rsidRPr="003B24AF">
        <w:rPr>
          <w:rFonts w:asciiTheme="minorHAnsi" w:hAnsiTheme="minorHAnsi"/>
          <w:sz w:val="22"/>
          <w:szCs w:val="22"/>
        </w:rPr>
        <w:t>Vonkajšie vplyvy  podľa</w:t>
      </w:r>
      <w:r>
        <w:rPr>
          <w:rFonts w:asciiTheme="minorHAnsi" w:hAnsiTheme="minorHAnsi"/>
          <w:sz w:val="22"/>
          <w:szCs w:val="22"/>
        </w:rPr>
        <w:t xml:space="preserve"> STN 33 2000-5-51 v priestoroch</w:t>
      </w:r>
      <w:r w:rsidRPr="003B24AF">
        <w:rPr>
          <w:rFonts w:asciiTheme="minorHAnsi" w:hAnsiTheme="minorHAnsi"/>
          <w:sz w:val="22"/>
          <w:szCs w:val="22"/>
        </w:rPr>
        <w:t xml:space="preserve">, v ktorých </w:t>
      </w:r>
      <w:r w:rsidR="001B4692">
        <w:rPr>
          <w:rFonts w:asciiTheme="minorHAnsi" w:hAnsiTheme="minorHAnsi"/>
          <w:sz w:val="22"/>
          <w:szCs w:val="22"/>
        </w:rPr>
        <w:t>sú</w:t>
      </w:r>
      <w:r w:rsidRPr="003B24AF">
        <w:rPr>
          <w:rFonts w:asciiTheme="minorHAnsi" w:hAnsiTheme="minorHAnsi"/>
          <w:sz w:val="22"/>
          <w:szCs w:val="22"/>
        </w:rPr>
        <w:t xml:space="preserve"> navrhovan</w:t>
      </w:r>
      <w:r w:rsidR="001B4692">
        <w:rPr>
          <w:rFonts w:asciiTheme="minorHAnsi" w:hAnsiTheme="minorHAnsi"/>
          <w:sz w:val="22"/>
          <w:szCs w:val="22"/>
        </w:rPr>
        <w:t>é</w:t>
      </w:r>
      <w:r>
        <w:rPr>
          <w:rFonts w:asciiTheme="minorHAnsi" w:hAnsiTheme="minorHAnsi"/>
          <w:sz w:val="22"/>
          <w:szCs w:val="22"/>
        </w:rPr>
        <w:t xml:space="preserve"> </w:t>
      </w:r>
      <w:r w:rsidR="00C71BF3">
        <w:rPr>
          <w:rFonts w:asciiTheme="minorHAnsi" w:hAnsiTheme="minorHAnsi"/>
          <w:sz w:val="22"/>
          <w:szCs w:val="22"/>
        </w:rPr>
        <w:t>bezpečnostné systémy</w:t>
      </w:r>
      <w:r w:rsidR="001B4692">
        <w:rPr>
          <w:rFonts w:asciiTheme="minorHAnsi" w:hAnsiTheme="minorHAnsi"/>
          <w:sz w:val="22"/>
          <w:szCs w:val="22"/>
        </w:rPr>
        <w:t xml:space="preserve"> </w:t>
      </w:r>
      <w:r w:rsidRPr="003B24AF">
        <w:rPr>
          <w:rFonts w:asciiTheme="minorHAnsi" w:hAnsiTheme="minorHAnsi"/>
          <w:sz w:val="22"/>
          <w:szCs w:val="22"/>
        </w:rPr>
        <w:t>boli stanovené odbornou komisiou a sú uvedené v „ Protokole o určení vonkajších vplyvov</w:t>
      </w:r>
      <w:r w:rsidR="00C71BF3">
        <w:rPr>
          <w:rFonts w:asciiTheme="minorHAnsi" w:hAnsiTheme="minorHAnsi"/>
          <w:sz w:val="22"/>
          <w:szCs w:val="22"/>
        </w:rPr>
        <w:t>.</w:t>
      </w:r>
      <w:r w:rsidR="008D0206">
        <w:rPr>
          <w:rFonts w:asciiTheme="minorHAnsi" w:hAnsiTheme="minorHAnsi"/>
          <w:sz w:val="22"/>
          <w:szCs w:val="22"/>
        </w:rPr>
        <w:t xml:space="preserve"> Protokol je v</w:t>
      </w:r>
      <w:r w:rsidR="008851A9">
        <w:rPr>
          <w:rFonts w:asciiTheme="minorHAnsi" w:hAnsiTheme="minorHAnsi"/>
          <w:sz w:val="22"/>
          <w:szCs w:val="22"/>
        </w:rPr>
        <w:t> dokladovej časti stavby</w:t>
      </w:r>
      <w:r w:rsidR="001173A4">
        <w:rPr>
          <w:rFonts w:asciiTheme="minorHAnsi" w:hAnsiTheme="minorHAnsi"/>
          <w:sz w:val="22"/>
          <w:szCs w:val="22"/>
        </w:rPr>
        <w:t>.</w:t>
      </w:r>
      <w:bookmarkEnd w:id="0"/>
    </w:p>
    <w:p w14:paraId="491701BC" w14:textId="77777777" w:rsidR="001173A4" w:rsidRDefault="001173A4" w:rsidP="001173A4">
      <w:pPr>
        <w:ind w:right="567"/>
        <w:rPr>
          <w:rFonts w:asciiTheme="minorHAnsi" w:hAnsiTheme="minorHAnsi" w:cs="Arial"/>
          <w:sz w:val="22"/>
          <w:szCs w:val="22"/>
        </w:rPr>
      </w:pPr>
    </w:p>
    <w:p w14:paraId="58FA4E41" w14:textId="77777777" w:rsidR="00F315CB" w:rsidRDefault="00F315CB" w:rsidP="00F315CB">
      <w:pPr>
        <w:pStyle w:val="Pta"/>
        <w:tabs>
          <w:tab w:val="left" w:pos="708"/>
        </w:tabs>
        <w:contextualSpacing/>
        <w:rPr>
          <w:rFonts w:asciiTheme="minorHAnsi" w:hAnsiTheme="minorHAnsi" w:cs="Arial"/>
          <w:b/>
          <w:sz w:val="28"/>
          <w:szCs w:val="28"/>
          <w:u w:val="single"/>
        </w:rPr>
      </w:pPr>
      <w:r w:rsidRPr="00F315CB">
        <w:rPr>
          <w:rFonts w:asciiTheme="minorHAnsi" w:hAnsiTheme="minorHAnsi" w:cs="Arial"/>
          <w:b/>
          <w:sz w:val="28"/>
          <w:szCs w:val="28"/>
          <w:u w:val="single"/>
        </w:rPr>
        <w:t>3.</w:t>
      </w:r>
      <w:r>
        <w:rPr>
          <w:rFonts w:asciiTheme="minorHAnsi" w:hAnsiTheme="minorHAnsi" w:cs="Arial"/>
          <w:b/>
          <w:sz w:val="28"/>
          <w:szCs w:val="28"/>
          <w:u w:val="single"/>
        </w:rPr>
        <w:t xml:space="preserve"> TECHNICKÉ RIEŠENIE:</w:t>
      </w:r>
    </w:p>
    <w:p w14:paraId="276FC617" w14:textId="77777777" w:rsidR="00B65D20" w:rsidRPr="002C30DE" w:rsidRDefault="00B65D20" w:rsidP="00F315CB">
      <w:pPr>
        <w:pStyle w:val="Pta"/>
        <w:tabs>
          <w:tab w:val="left" w:pos="708"/>
        </w:tabs>
        <w:contextualSpacing/>
        <w:rPr>
          <w:rFonts w:asciiTheme="minorHAnsi" w:hAnsiTheme="minorHAnsi" w:cs="Arial"/>
          <w:sz w:val="22"/>
          <w:szCs w:val="22"/>
        </w:rPr>
      </w:pPr>
    </w:p>
    <w:p w14:paraId="060F2345" w14:textId="483BDB17" w:rsidR="00CC1B05" w:rsidRPr="00D219DE" w:rsidRDefault="001E5554" w:rsidP="00CC1B05">
      <w:pPr>
        <w:pStyle w:val="Pta"/>
        <w:tabs>
          <w:tab w:val="left" w:pos="708"/>
        </w:tabs>
        <w:contextualSpacing/>
        <w:rPr>
          <w:rFonts w:asciiTheme="minorHAnsi" w:hAnsiTheme="minorHAnsi" w:cs="Arial"/>
          <w:b/>
          <w:sz w:val="22"/>
          <w:szCs w:val="22"/>
          <w:u w:val="single"/>
        </w:rPr>
      </w:pPr>
      <w:r>
        <w:rPr>
          <w:rFonts w:asciiTheme="minorHAnsi" w:hAnsiTheme="minorHAnsi" w:cs="Arial"/>
          <w:b/>
          <w:sz w:val="22"/>
          <w:szCs w:val="22"/>
          <w:u w:val="single"/>
        </w:rPr>
        <w:t xml:space="preserve">3.1 </w:t>
      </w:r>
      <w:r w:rsidR="00E62EF5">
        <w:rPr>
          <w:rFonts w:asciiTheme="minorHAnsi" w:hAnsiTheme="minorHAnsi" w:cs="Arial"/>
          <w:b/>
          <w:sz w:val="22"/>
          <w:szCs w:val="22"/>
          <w:u w:val="single"/>
        </w:rPr>
        <w:t>Všeobecný popis SW riešenia:</w:t>
      </w:r>
    </w:p>
    <w:p w14:paraId="2A3EB306" w14:textId="0144BCB5" w:rsidR="00E62EF5" w:rsidRPr="00E62EF5" w:rsidRDefault="002D3079" w:rsidP="00E62EF5">
      <w:pPr>
        <w:contextualSpacing/>
        <w:rPr>
          <w:rFonts w:ascii="Calibri" w:hAnsi="Calibri" w:cs="Calibri"/>
          <w:sz w:val="22"/>
          <w:szCs w:val="22"/>
        </w:rPr>
      </w:pPr>
      <w:r w:rsidRPr="00E62EF5">
        <w:rPr>
          <w:rFonts w:ascii="Calibri" w:hAnsi="Calibri" w:cs="Calibri"/>
          <w:sz w:val="22"/>
          <w:szCs w:val="22"/>
        </w:rPr>
        <w:t xml:space="preserve">    </w:t>
      </w:r>
      <w:r w:rsidR="004E59AE" w:rsidRPr="00E62EF5">
        <w:rPr>
          <w:rFonts w:ascii="Calibri" w:hAnsi="Calibri" w:cs="Calibri"/>
          <w:sz w:val="22"/>
          <w:szCs w:val="22"/>
        </w:rPr>
        <w:t xml:space="preserve">    </w:t>
      </w:r>
      <w:r w:rsidR="00E62EF5" w:rsidRPr="00E62EF5">
        <w:rPr>
          <w:rFonts w:ascii="Calibri" w:hAnsi="Calibri" w:cs="Calibri"/>
          <w:sz w:val="22"/>
          <w:szCs w:val="22"/>
        </w:rPr>
        <w:t xml:space="preserve">Systém BIS / modul SKV rozšíri jestvujúce riešenie o správu prístupového systému. BIS poskytuje plne integrované riešenie systému kontroly vstupu obsahujúce modul riadenia kontroly vstupu, pripojené dverné riadiace jednotky prístupového systému (RJ), prístupové čítačky a rozširujúce vstupno/výstupné moduly. Modul pre riadenie kontroly vstupu poskytuje širokú škálu funkcií prístupového systému, nástroje pre nastavenie prístupu, časové profily, plány a udalosti prístupových alarmov. Všetky alarmy ako je prekročenie doby otvorenia dverí, zamietnutý prístup, neznáma karta atď.,  sú priamo ovládané centrálou BIS pre riadenie a monitorovanie. </w:t>
      </w:r>
    </w:p>
    <w:p w14:paraId="4266C8F8" w14:textId="77777777" w:rsidR="00E62EF5" w:rsidRPr="00E62EF5" w:rsidRDefault="00E62EF5" w:rsidP="00E62EF5">
      <w:pPr>
        <w:contextualSpacing/>
        <w:rPr>
          <w:rFonts w:ascii="Calibri" w:hAnsi="Calibri" w:cs="Calibri"/>
          <w:sz w:val="22"/>
          <w:szCs w:val="22"/>
        </w:rPr>
      </w:pPr>
    </w:p>
    <w:p w14:paraId="7C38991F"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Hardware dvernej riadiacej jednotky prístupového systému (RJ)</w:t>
      </w:r>
    </w:p>
    <w:p w14:paraId="74878318" w14:textId="27415606" w:rsidR="00E62EF5" w:rsidRPr="00E62EF5" w:rsidRDefault="00E62EF5" w:rsidP="008E324C">
      <w:pPr>
        <w:contextualSpacing/>
        <w:rPr>
          <w:rFonts w:ascii="Calibri" w:hAnsi="Calibri" w:cs="Calibri"/>
          <w:sz w:val="22"/>
          <w:szCs w:val="22"/>
        </w:rPr>
      </w:pPr>
      <w:r w:rsidRPr="00E62EF5">
        <w:rPr>
          <w:rFonts w:ascii="Calibri" w:hAnsi="Calibri" w:cs="Calibri"/>
          <w:sz w:val="22"/>
          <w:szCs w:val="22"/>
        </w:rPr>
        <w:t xml:space="preserve">RJ </w:t>
      </w:r>
      <w:r>
        <w:rPr>
          <w:rFonts w:ascii="Calibri" w:hAnsi="Calibri" w:cs="Calibri"/>
          <w:sz w:val="22"/>
          <w:szCs w:val="22"/>
        </w:rPr>
        <w:t xml:space="preserve">sa neinštalujú </w:t>
      </w:r>
      <w:r w:rsidRPr="00E62EF5">
        <w:rPr>
          <w:rFonts w:ascii="Calibri" w:hAnsi="Calibri" w:cs="Calibri"/>
          <w:sz w:val="22"/>
          <w:szCs w:val="22"/>
        </w:rPr>
        <w:t>do skrinky zabezpečenej tamperom s integrovaným zdrojom a</w:t>
      </w:r>
      <w:r>
        <w:rPr>
          <w:rFonts w:ascii="Calibri" w:hAnsi="Calibri" w:cs="Calibri"/>
          <w:sz w:val="22"/>
          <w:szCs w:val="22"/>
        </w:rPr>
        <w:t> </w:t>
      </w:r>
      <w:r w:rsidRPr="00E62EF5">
        <w:rPr>
          <w:rFonts w:ascii="Calibri" w:hAnsi="Calibri" w:cs="Calibri"/>
          <w:sz w:val="22"/>
          <w:szCs w:val="22"/>
        </w:rPr>
        <w:t>akumulátor</w:t>
      </w:r>
      <w:r>
        <w:rPr>
          <w:rFonts w:ascii="Calibri" w:hAnsi="Calibri" w:cs="Calibri"/>
          <w:sz w:val="22"/>
          <w:szCs w:val="22"/>
        </w:rPr>
        <w:t xml:space="preserve">om. </w:t>
      </w:r>
      <w:r w:rsidRPr="00E62EF5">
        <w:rPr>
          <w:rFonts w:ascii="Calibri" w:hAnsi="Calibri" w:cs="Calibri"/>
          <w:sz w:val="22"/>
          <w:szCs w:val="22"/>
        </w:rPr>
        <w:t xml:space="preserve">RJ je možné pripojiť k hostiteľskému počítaču pomocou bežného rozhrania Ethernet, RS-232 a RS-485. RJ má modulárny dizajn so stiahnuteľným jednoducho aktualizovaním softwarom. RJ má LCD displej a tlačidlom pre výber zobrazenia všetkých sieťových parametrov ako IP adresa, DHCP, MAC adresa a stav všetkých vstupov a výstupov. RJ , prístupové čítačky a rozširujúce vstupno/výstupné moduly  pracujú autonómne  v režime off-line, v prípade chyby v spojení v sieti alebo hostiteľa. RJ podporuje až 4 bezkontaktné čítačky so štandardným  rozhraním alebo až 8 sériových čítačiek používajúcich pripojenie cez RS-485. </w:t>
      </w:r>
    </w:p>
    <w:p w14:paraId="2CA250F8" w14:textId="108DE765"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RJ poskytuje 8 vstupov a 8 výstupov, ktoré sú rozšíriteľné na 64, pomocou rozširujúcich vstupno/výstupných modulov. Všetky vstupy sú použiteľné v 2- až 4- stavovom móde. Konfiguračný software umožňuje flexibilnú definíciu rezistorov / terminárotov použitých v 4-stavovom móde zapojenia. Po rozšírení RJ zobrazuje stavy pripojených rozširujúcich vstupno/výstupných modulov na svojom displeji. RJ podporuje štandardnú CF flash pamäť pre ukladanie dát a prístupových udalostí držiteľa karty. CF pamäť je formátovaná štandardným FAT súborovým systémom, teda je možné ju čítať pomocou štandardnej čítačky pripojenej do počítača, ak RJ zlyhá. Pamäť RJ umožňuje uloženie viac ako 200 000 držiteľov kariet. RJ so zodpovedajúcim BIS modulom pre riadenie prístupu, poskytuje jednoduchý spôsob konfigurácie vchodov vo vopred definovanej forme dverovej šablóny. Administrátor prístupového systému je schopný nastaviť vchod výberom zo zoznamu dverových modelov. Systémom sú poskytované nasledujúce dverové šablóny:</w:t>
      </w:r>
    </w:p>
    <w:p w14:paraId="6A08F549"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dvere s vchodovou a východovou čítačkou</w:t>
      </w:r>
    </w:p>
    <w:p w14:paraId="74B6DE63"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dvere s vchodovou čítačkou a odchodovým tlačidlom EXIT</w:t>
      </w:r>
    </w:p>
    <w:p w14:paraId="267E793F"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dvere s vchodovou alebo východovou čítačkou</w:t>
      </w:r>
    </w:p>
    <w:p w14:paraId="5CFE3456"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parkovisko s rampou a riadenie semaforov</w:t>
      </w:r>
    </w:p>
    <w:p w14:paraId="1F2AA7E7"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výťah s kontrolou poschodia</w:t>
      </w:r>
    </w:p>
    <w:p w14:paraId="42780888"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pasca</w:t>
      </w:r>
    </w:p>
    <w:p w14:paraId="11EC2B6A"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dvere s kombinovanou funkciou zapnutie / vypnutie EZS</w:t>
      </w:r>
    </w:p>
    <w:p w14:paraId="2C4A4B77"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čas a priechod dverami</w:t>
      </w:r>
    </w:p>
    <w:p w14:paraId="13BE49EF" w14:textId="1EDFCB2D"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Kombinovaný vstup osobné vozidlo / nákladné vozidlo s dvojitou čítačkou</w:t>
      </w:r>
    </w:p>
    <w:p w14:paraId="0627215B"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xml:space="preserve">Výberom pred definovanej dverovej šablóny systém automaticky priradí, ďalšiu voľnú čítačku/ vstupný/ výstupný kanál v RJ, vybratej funkcii. Konfigurácia prístupu poskytuje tlač zapojenia pre montáž. RJ umožňuje inštalatérovi definovať dobu, impulz a dĺžku impulzu. Definované spojenia fungujú aj vtedy, keď je RJ v režime off-line. </w:t>
      </w:r>
    </w:p>
    <w:p w14:paraId="34167A3C" w14:textId="0A824F2C"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RJ je certifikovaná v súlade s CE.</w:t>
      </w:r>
    </w:p>
    <w:p w14:paraId="5D5C2331"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Zápis držiteľa karty</w:t>
      </w:r>
    </w:p>
    <w:p w14:paraId="32BEEF03" w14:textId="1A80E9D8" w:rsidR="00E62EF5" w:rsidRPr="00E62EF5" w:rsidRDefault="00E62EF5" w:rsidP="00E62EF5">
      <w:pPr>
        <w:ind w:firstLine="708"/>
        <w:contextualSpacing/>
        <w:rPr>
          <w:rFonts w:ascii="Calibri" w:hAnsi="Calibri" w:cs="Calibri"/>
          <w:sz w:val="22"/>
          <w:szCs w:val="22"/>
        </w:rPr>
      </w:pPr>
      <w:r w:rsidRPr="00E62EF5">
        <w:rPr>
          <w:rFonts w:ascii="Calibri" w:hAnsi="Calibri" w:cs="Calibri"/>
          <w:sz w:val="22"/>
          <w:szCs w:val="22"/>
        </w:rPr>
        <w:t>Modul správy</w:t>
      </w:r>
      <w:r w:rsidR="0094253B">
        <w:rPr>
          <w:rFonts w:ascii="Calibri" w:hAnsi="Calibri" w:cs="Calibri"/>
          <w:sz w:val="22"/>
          <w:szCs w:val="22"/>
        </w:rPr>
        <w:t xml:space="preserve"> </w:t>
      </w:r>
      <w:r w:rsidRPr="00E62EF5">
        <w:rPr>
          <w:rFonts w:ascii="Calibri" w:hAnsi="Calibri" w:cs="Calibri"/>
          <w:sz w:val="22"/>
          <w:szCs w:val="22"/>
        </w:rPr>
        <w:t>zabezpečuje jednoduchý spôsob zadávania držiteľov kariet do internej databázy. V databáze držiteľov kariet je ku karte možné priradiť informácie:</w:t>
      </w:r>
    </w:p>
    <w:p w14:paraId="61E40241"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Meno</w:t>
      </w:r>
    </w:p>
    <w:p w14:paraId="0337725A"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Priezvisko</w:t>
      </w:r>
    </w:p>
    <w:p w14:paraId="012A880B"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číslo karty</w:t>
      </w:r>
    </w:p>
    <w:p w14:paraId="57B1BAF4"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oprávnenie na prístup</w:t>
      </w:r>
    </w:p>
    <w:p w14:paraId="585E12E0"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PIN kód</w:t>
      </w:r>
    </w:p>
    <w:p w14:paraId="2C070C38"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doba platnosti</w:t>
      </w:r>
    </w:p>
    <w:p w14:paraId="256C88F4"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členstvo</w:t>
      </w:r>
    </w:p>
    <w:p w14:paraId="4FCEAC7E"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status: napr. zamestnanec, návštevník, strážna služba</w:t>
      </w:r>
    </w:p>
    <w:p w14:paraId="46BC2BEC"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Adresa</w:t>
      </w:r>
    </w:p>
    <w:p w14:paraId="3BEDE7E2"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Osobné údaje</w:t>
      </w:r>
    </w:p>
    <w:p w14:paraId="73331A08" w14:textId="5E97C86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Individuálne pole pre administrátora</w:t>
      </w:r>
    </w:p>
    <w:p w14:paraId="1DD7F806" w14:textId="7FEFF573"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Číslo karty je možné zadať manuálne alebo zápisom registračnej čítačky pripojenej k operátorovej alebo administrátorovej pracovnej stanice.</w:t>
      </w:r>
    </w:p>
    <w:p w14:paraId="60C33A2B" w14:textId="33A83B68"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Import/Export držiteľov kariet kmeňových záznamov</w:t>
      </w:r>
    </w:p>
    <w:p w14:paraId="3184C4D2" w14:textId="77777777" w:rsidR="008E324C" w:rsidRDefault="00E62EF5" w:rsidP="00E62EF5">
      <w:pPr>
        <w:contextualSpacing/>
        <w:rPr>
          <w:rFonts w:ascii="Calibri" w:hAnsi="Calibri" w:cs="Calibri"/>
          <w:sz w:val="22"/>
          <w:szCs w:val="22"/>
        </w:rPr>
      </w:pPr>
      <w:r w:rsidRPr="00E62EF5">
        <w:rPr>
          <w:rFonts w:ascii="Calibri" w:hAnsi="Calibri" w:cs="Calibri"/>
          <w:sz w:val="22"/>
          <w:szCs w:val="22"/>
        </w:rPr>
        <w:t xml:space="preserve">              Systém BIS zabezpečuje rozhranie pre import a export dát z osobných databáz investora,  dochádzkového systému a jestvujúceho prístupového systému pre použitie inou aplikáciou. Rozhranie  podporuje formát oddelenia čiarkou a s fixnou dĺžkou súboru. Je možné jednoduché prispôsobenie tohto formátu. Je podporovaný import súborov s rôznymi formátmi súčasne. Rozhranie podporuje definovanie </w:t>
      </w:r>
    </w:p>
    <w:p w14:paraId="2ED6A258" w14:textId="77777777" w:rsidR="008E324C" w:rsidRDefault="008E324C" w:rsidP="00E62EF5">
      <w:pPr>
        <w:contextualSpacing/>
        <w:rPr>
          <w:rFonts w:ascii="Calibri" w:hAnsi="Calibri" w:cs="Calibri"/>
          <w:sz w:val="22"/>
          <w:szCs w:val="22"/>
        </w:rPr>
      </w:pPr>
    </w:p>
    <w:p w14:paraId="6A333816" w14:textId="77777777" w:rsidR="008E324C" w:rsidRDefault="008E324C" w:rsidP="00E62EF5">
      <w:pPr>
        <w:contextualSpacing/>
        <w:rPr>
          <w:rFonts w:ascii="Calibri" w:hAnsi="Calibri" w:cs="Calibri"/>
          <w:sz w:val="22"/>
          <w:szCs w:val="22"/>
        </w:rPr>
      </w:pPr>
    </w:p>
    <w:p w14:paraId="462E4BD5" w14:textId="7B1EDDE3"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importných a exportných pravidiel ako napr. rozdelenie polí krstného mena a priezviska. Rozhranie podporuje definíciu plánov pre automatický export a import.</w:t>
      </w:r>
    </w:p>
    <w:p w14:paraId="79200544"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PIN kód a nátlakový alarm</w:t>
      </w:r>
    </w:p>
    <w:p w14:paraId="58B6FF50" w14:textId="075FCEF4"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Systém BIS podporuje zadanie PIN kódu pre každého držiteľa kary s definovanou dĺžkou a dobou platnosti. Systém BIS podporuje funkciu nátlakového kódu, ktorý generuje alarm v centrálnom monitorovacom systéme BIS.</w:t>
      </w:r>
    </w:p>
    <w:p w14:paraId="7F6D7387"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Blokovanie držiteľov kariet a Black list</w:t>
      </w:r>
    </w:p>
    <w:p w14:paraId="0EC0A59E" w14:textId="01931939"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Systém BIS umožňuje blokovanie ID karty napr. po dobe platnosti, a administrátor má možnosť ID kartu presunúť na čiernu listinu  ( napr. pri krádeži alebo strate karty ) . Ak sa karta z čiernej listiny použije je spustený poplach na centrálnom monitorovacom pracovisku BIS a sú zobrazené všetky definované a alarmové dokumenty a akčné plány.</w:t>
      </w:r>
    </w:p>
    <w:p w14:paraId="0F9E53C0"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Povolenie miesta a času</w:t>
      </w:r>
    </w:p>
    <w:p w14:paraId="36958D04" w14:textId="033B4420"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Systém BIS umožňuje kombináciu prístupových oprávnení s časovými modelmi. Priradený časový model definuje , kedy oprávnenie k prístupu je aktívne.</w:t>
      </w:r>
    </w:p>
    <w:p w14:paraId="224FAA0C"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Prístupové profily</w:t>
      </w:r>
    </w:p>
    <w:p w14:paraId="2F4ACA0B" w14:textId="13B13DBF"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Systém BIS podporuje zoskupovanie oprávnení k prístupu  alebo povolení časových prístupov. Poskytuje jednoduchý spôsob priradenia často používaných prístupových profilov pre zamestnancov a návštevníkov.</w:t>
      </w:r>
    </w:p>
    <w:p w14:paraId="6335CAFB"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Oblasti</w:t>
      </w:r>
    </w:p>
    <w:p w14:paraId="5C090708" w14:textId="119A7741"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Systém BIS podporuje definovanie oblastí. Operátor má možnosť vytvoriť oddelené priestory pre osoby a vozidlá (parkoviská). Plochy sú priradené vchodom, umožňujúce sledovanie osôb. Prechod vchodom/ čítačkou patriacou parkovisku zobrazuje umiestnenie auta prechádzajúceho.</w:t>
      </w:r>
    </w:p>
    <w:p w14:paraId="615FB86A"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Trasa</w:t>
      </w:r>
    </w:p>
    <w:p w14:paraId="1F580D2C" w14:textId="08D70E21"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Systém BIS umožňuje definíciu trás so špeciálnou autorizáciou, ktoré nútia držiteľa karty prezentovať sa pri čítačkách v pevnom poradí. Kontrola trasy sa spustí automaticky pri prezentácii na prvej čítačke a končí po absolvovaní priloženia karty na poslednej čítačke. Akékoľvek porušenie poradia  spustí na  centrálnom monitorovacom pracovisku BIS poplach. Systém umožňuje do definovanej trasy doplniť aj časový limit, ktorého prekročenie alebo zlé poradie rovnako spustí poplach.</w:t>
      </w:r>
    </w:p>
    <w:p w14:paraId="0FFE02BD"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Prístup N – osôb</w:t>
      </w:r>
    </w:p>
    <w:p w14:paraId="2747A80A" w14:textId="3D45BD90"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xml:space="preserve">              Systém BIS poskytuje možnosť umožniť prístup  len vtedy, keď aspoň dvaja držitelia kariet sa identifikujú na čítačke. Počet držiteľov kariet pre taký druh kontroly prístupu pred vstupom nesmie byť obmedzený systémom. </w:t>
      </w:r>
    </w:p>
    <w:p w14:paraId="03064D3F"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Prístupové sekvencie</w:t>
      </w:r>
    </w:p>
    <w:p w14:paraId="33D0BB67" w14:textId="37861248"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Systém BIS poskytuje kontrolu prístupových sekvencií, čo oprávňuje autorizovaného držiteľa karty vstúpiť do dverí alebo skupiny dverí patriacich do oblasti, iba v prípade, že už prešiel špeciálne dvere.</w:t>
      </w:r>
    </w:p>
    <w:p w14:paraId="69B22B38"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Správa návštev</w:t>
      </w:r>
    </w:p>
    <w:p w14:paraId="7330E426"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Systém BIS umožňuje spravovanie návštevníkov v jednej databáze oddelenej od zamestnancov. Do databázy je umožnené  zadefinovať dodatočné informácie:</w:t>
      </w:r>
    </w:p>
    <w:p w14:paraId="35AD79B8" w14:textId="77777777" w:rsidR="00E62EF5" w:rsidRPr="00E62EF5" w:rsidRDefault="00E62EF5" w:rsidP="00E62EF5">
      <w:pPr>
        <w:contextualSpacing/>
        <w:rPr>
          <w:rFonts w:ascii="Calibri" w:hAnsi="Calibri" w:cs="Calibri"/>
          <w:sz w:val="22"/>
          <w:szCs w:val="22"/>
        </w:rPr>
      </w:pPr>
    </w:p>
    <w:p w14:paraId="5B2361AE"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a.           identifikačné číslo</w:t>
      </w:r>
    </w:p>
    <w:p w14:paraId="7767483E"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b.           Adresu</w:t>
      </w:r>
    </w:p>
    <w:p w14:paraId="504B7247"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c.           navštívenú osobu</w:t>
      </w:r>
    </w:p>
    <w:p w14:paraId="796BDC17"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d.           predpokladaný dátum príchodu a odchodu</w:t>
      </w:r>
    </w:p>
    <w:p w14:paraId="39E75771"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e.           Aktuálny dátum príchodu a odchodu</w:t>
      </w:r>
    </w:p>
    <w:p w14:paraId="7B1251E7"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f.            dôvod pre návštevu</w:t>
      </w:r>
    </w:p>
    <w:p w14:paraId="3E6FC5F1" w14:textId="2D782D3F"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g.           oprávnenie prístupu</w:t>
      </w:r>
    </w:p>
    <w:p w14:paraId="6109932E"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Video Overenie</w:t>
      </w:r>
    </w:p>
    <w:p w14:paraId="234422C1" w14:textId="4906C016"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Systém BIS umožňuje video overovací prístup tým, že kombinuje SKV s existujúcimi video zariadeniami cez správu videa BIS. Vyhradené čítačky sú konfigurované pre overovací režim pomocou zaškrtávacieho políčka.</w:t>
      </w:r>
      <w:r w:rsidR="0094253B">
        <w:rPr>
          <w:rFonts w:ascii="Calibri" w:hAnsi="Calibri" w:cs="Calibri"/>
          <w:sz w:val="22"/>
          <w:szCs w:val="22"/>
        </w:rPr>
        <w:t xml:space="preserve"> </w:t>
      </w:r>
      <w:r w:rsidRPr="00E62EF5">
        <w:rPr>
          <w:rFonts w:ascii="Calibri" w:hAnsi="Calibri" w:cs="Calibri"/>
          <w:sz w:val="22"/>
          <w:szCs w:val="22"/>
        </w:rPr>
        <w:t>Namiesto otvárania dverí priamo pri priložení ID karty, vie čítačka generovať udalosť v centrálnom BIS management and monitoring centre. Čítačka je identifikovaná v miestnej mape, a zobrazia sa zodpovedajúce dokumenty alarmu a databázový snímok držiteľa karty spolu s živým obrazom z príslušných dverí. Operátor vie vyhodnotiť, či sú oba obrazy zhodné, a môže rozhodnúť o otvorení dverí alebo odoprení prístupu.</w:t>
      </w:r>
    </w:p>
    <w:p w14:paraId="2C32B041" w14:textId="49FB901D"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w:t>
      </w:r>
    </w:p>
    <w:p w14:paraId="2FA07E8A"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lastRenderedPageBreak/>
        <w:t>Náhodný Screening</w:t>
      </w:r>
    </w:p>
    <w:p w14:paraId="4FB051F6" w14:textId="3616E194"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Systém BIS má schopnosť vykonať dodatočnú bezpečnostnú kontrolu na mieste odchodu. Čítačky u týchto východov sú ľahko nastaviteľné na režim náhodnej kontroly zaškrtnutím políčka a nastavením frekvencie. Funkcia vie spôsobiť, že náhodne sa dvere neotvoria, a zároveň sa spustí udalosť v centrálnej správe alarmu BIS so všetkými zodpovedajúcimi miestnymi mapami a dokumentmi alarmov. ID karta sa vie zablokovať v celom systéme. Operátor / strážna služba musí skontrolovať držiteľa karty a jeho osobné veci. Následne, operátor otvorí dvere manuálne kliknutím na ikonu dverí vo miestnej mapy a znovu aktivuje ID kartu.</w:t>
      </w:r>
    </w:p>
    <w:p w14:paraId="3A4538BD" w14:textId="64AAC39A"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Manipulácia s VIP</w:t>
      </w:r>
    </w:p>
    <w:p w14:paraId="35C17188" w14:textId="061EC4A3"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Systém BIS umožňuje identifikáciu osôb ako VIP, takže administrátor / operátor vie jednoduchým spôsobom vylúčiť tieto osoby z náhodného screeningu alebo zakázať ich u ich požiadavku na PIN .Taktiež je zabránené neoprávneným subjektom zmeniť prístupové práva VIP.</w:t>
      </w:r>
    </w:p>
    <w:p w14:paraId="592D3031"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Dáta dochádzky</w:t>
      </w:r>
    </w:p>
    <w:p w14:paraId="246F0270" w14:textId="656A64F3"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Systém BIS podporuje čítačky dochádzkového systému. Udalosti sú uložené v centrálnom protokole o udalostiach. Protokol udalostí  podporuje filtrovanie takýchto udalostí a ich výstup do štandardného formátu textových súborov CSV pre použitie v iných aplikáciách.</w:t>
      </w:r>
    </w:p>
    <w:p w14:paraId="51BD4BBE"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Riadenie kontroly prístupu udalostí alarmu</w:t>
      </w:r>
    </w:p>
    <w:p w14:paraId="7EEE365C" w14:textId="48FE270F"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Systém BIS poskytuje širokú škálu štandardných alarmov a udalostí . Sú podporované nasledujúci alarmy / udalosti:</w:t>
      </w:r>
    </w:p>
    <w:p w14:paraId="13A854D2"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o            neznáma karta</w:t>
      </w:r>
    </w:p>
    <w:p w14:paraId="3BCAB742"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o            neautorizovaná karta</w:t>
      </w:r>
    </w:p>
    <w:p w14:paraId="6AE536F1"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o            karta mimo časový profil</w:t>
      </w:r>
    </w:p>
    <w:p w14:paraId="76799ED4"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o            Anti-pass back karta</w:t>
      </w:r>
    </w:p>
    <w:p w14:paraId="32CF1EC8"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o            prístup timeout, vypršanie času pre prístup</w:t>
      </w:r>
    </w:p>
    <w:p w14:paraId="4EDCAA8F"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o            prekročenie času dovretia dverí</w:t>
      </w:r>
    </w:p>
    <w:p w14:paraId="028809DE"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o            neoprávnené otvorenie dverí</w:t>
      </w:r>
    </w:p>
    <w:p w14:paraId="37EF3BED"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o            blokované dvere</w:t>
      </w:r>
    </w:p>
    <w:p w14:paraId="6FDAC85E"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o            narušenie tamper RJ</w:t>
      </w:r>
    </w:p>
    <w:p w14:paraId="3745A3C1"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o            narušenie tamper čítačka</w:t>
      </w:r>
    </w:p>
    <w:p w14:paraId="05A7E248"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o            Chybný PIN kód</w:t>
      </w:r>
    </w:p>
    <w:p w14:paraId="14A09C5B"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o            nátlakový kód</w:t>
      </w:r>
    </w:p>
    <w:p w14:paraId="709B0B60"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o            odmietnutý prístup</w:t>
      </w:r>
    </w:p>
    <w:p w14:paraId="0710442F"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o            zlá verzia karty</w:t>
      </w:r>
    </w:p>
    <w:p w14:paraId="16147E8B"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o            blokovaná karta</w:t>
      </w:r>
    </w:p>
    <w:p w14:paraId="2B474834"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o            karta na čiernej listine</w:t>
      </w:r>
    </w:p>
    <w:p w14:paraId="68A9C516"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o            karta mimo trasu</w:t>
      </w:r>
    </w:p>
    <w:p w14:paraId="53FAC0CC"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o            Guard tour alarm</w:t>
      </w:r>
    </w:p>
    <w:p w14:paraId="55C329D9"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xml:space="preserve">o            náhodná osobná prehliadka </w:t>
      </w:r>
    </w:p>
    <w:p w14:paraId="3B295E92" w14:textId="77777777" w:rsidR="00E62EF5" w:rsidRPr="00E62EF5" w:rsidRDefault="00E62EF5" w:rsidP="00E62EF5">
      <w:pPr>
        <w:contextualSpacing/>
        <w:rPr>
          <w:rFonts w:ascii="Calibri" w:hAnsi="Calibri" w:cs="Calibri"/>
          <w:sz w:val="22"/>
          <w:szCs w:val="22"/>
        </w:rPr>
      </w:pPr>
    </w:p>
    <w:p w14:paraId="3D1DE0BB"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Snímky držiteľov kariet</w:t>
      </w:r>
    </w:p>
    <w:p w14:paraId="3E4329AB" w14:textId="58D04749" w:rsidR="00E62EF5" w:rsidRDefault="00E62EF5" w:rsidP="00E62EF5">
      <w:pPr>
        <w:contextualSpacing/>
        <w:rPr>
          <w:rFonts w:ascii="Calibri" w:hAnsi="Calibri" w:cs="Calibri"/>
          <w:sz w:val="22"/>
          <w:szCs w:val="22"/>
        </w:rPr>
      </w:pPr>
      <w:r w:rsidRPr="00E62EF5">
        <w:rPr>
          <w:rFonts w:ascii="Calibri" w:hAnsi="Calibri" w:cs="Calibri"/>
          <w:sz w:val="22"/>
          <w:szCs w:val="22"/>
        </w:rPr>
        <w:t>              Systém BIS poskytuje štandardné funkcie pre fotografovanie, skenovanie alebo import obrázkov držiteľov kariet do databázy držiteľov kariet. Uložené snímky držiteľov kariet sú automaticky zobrazené v dokumente overenia video verifikáciou.</w:t>
      </w:r>
    </w:p>
    <w:p w14:paraId="464815F6" w14:textId="0D9886E8" w:rsidR="00CA65C8" w:rsidRDefault="00CA65C8" w:rsidP="00F315CB">
      <w:pPr>
        <w:pStyle w:val="Pta"/>
        <w:tabs>
          <w:tab w:val="left" w:pos="708"/>
        </w:tabs>
        <w:contextualSpacing/>
        <w:rPr>
          <w:rFonts w:asciiTheme="minorHAnsi" w:hAnsiTheme="minorHAnsi" w:cs="Arial"/>
          <w:sz w:val="22"/>
          <w:szCs w:val="22"/>
        </w:rPr>
      </w:pPr>
    </w:p>
    <w:p w14:paraId="39DC9522" w14:textId="46BBEC6D" w:rsidR="001173A4" w:rsidRDefault="001173A4" w:rsidP="001173A4">
      <w:pPr>
        <w:rPr>
          <w:rFonts w:ascii="Calibri" w:hAnsi="Calibri"/>
          <w:b/>
          <w:sz w:val="22"/>
          <w:szCs w:val="22"/>
          <w:u w:val="single"/>
        </w:rPr>
      </w:pPr>
      <w:r w:rsidRPr="00160C3A">
        <w:rPr>
          <w:rFonts w:asciiTheme="minorHAnsi" w:hAnsiTheme="minorHAnsi"/>
          <w:b/>
          <w:sz w:val="22"/>
          <w:szCs w:val="22"/>
          <w:u w:val="single"/>
        </w:rPr>
        <w:t>3.</w:t>
      </w:r>
      <w:r w:rsidR="008E324C">
        <w:rPr>
          <w:rFonts w:asciiTheme="minorHAnsi" w:hAnsiTheme="minorHAnsi"/>
          <w:b/>
          <w:sz w:val="22"/>
          <w:szCs w:val="22"/>
          <w:u w:val="single"/>
        </w:rPr>
        <w:t>2</w:t>
      </w:r>
      <w:r w:rsidRPr="00160C3A">
        <w:rPr>
          <w:rFonts w:asciiTheme="minorHAnsi" w:hAnsiTheme="minorHAnsi"/>
          <w:b/>
          <w:sz w:val="22"/>
          <w:szCs w:val="22"/>
          <w:u w:val="single"/>
        </w:rPr>
        <w:t xml:space="preserve"> Vyhodnotenie neodstrániteľných nebezpečenstiev a ohrození podľa §4 </w:t>
      </w:r>
      <w:r>
        <w:rPr>
          <w:rFonts w:asciiTheme="minorHAnsi" w:hAnsiTheme="minorHAnsi"/>
          <w:b/>
          <w:sz w:val="22"/>
          <w:szCs w:val="22"/>
          <w:u w:val="single"/>
        </w:rPr>
        <w:t>čl</w:t>
      </w:r>
      <w:r w:rsidRPr="00160C3A">
        <w:rPr>
          <w:rFonts w:asciiTheme="minorHAnsi" w:hAnsiTheme="minorHAnsi"/>
          <w:b/>
          <w:sz w:val="22"/>
          <w:szCs w:val="22"/>
          <w:u w:val="single"/>
        </w:rPr>
        <w:t>.</w:t>
      </w:r>
      <w:r>
        <w:rPr>
          <w:rFonts w:asciiTheme="minorHAnsi" w:hAnsiTheme="minorHAnsi"/>
          <w:b/>
          <w:sz w:val="22"/>
          <w:szCs w:val="22"/>
          <w:u w:val="single"/>
        </w:rPr>
        <w:t>1</w:t>
      </w:r>
      <w:r w:rsidRPr="00160C3A">
        <w:rPr>
          <w:rFonts w:asciiTheme="minorHAnsi" w:hAnsiTheme="minorHAnsi"/>
          <w:b/>
          <w:sz w:val="22"/>
          <w:szCs w:val="22"/>
          <w:u w:val="single"/>
        </w:rPr>
        <w:t xml:space="preserve"> </w:t>
      </w:r>
      <w:r>
        <w:rPr>
          <w:rFonts w:asciiTheme="minorHAnsi" w:hAnsiTheme="minorHAnsi"/>
          <w:b/>
          <w:sz w:val="22"/>
          <w:szCs w:val="22"/>
          <w:u w:val="single"/>
        </w:rPr>
        <w:t>zákona</w:t>
      </w:r>
      <w:r w:rsidRPr="00160C3A">
        <w:rPr>
          <w:rFonts w:asciiTheme="minorHAnsi" w:hAnsiTheme="minorHAnsi"/>
          <w:b/>
          <w:sz w:val="22"/>
          <w:szCs w:val="22"/>
          <w:u w:val="single"/>
        </w:rPr>
        <w:t xml:space="preserve"> č. </w:t>
      </w:r>
      <w:r>
        <w:rPr>
          <w:rFonts w:asciiTheme="minorHAnsi" w:hAnsiTheme="minorHAnsi"/>
          <w:b/>
          <w:sz w:val="22"/>
          <w:szCs w:val="22"/>
          <w:u w:val="single"/>
        </w:rPr>
        <w:t>124</w:t>
      </w:r>
      <w:r w:rsidRPr="00160C3A">
        <w:rPr>
          <w:rFonts w:asciiTheme="minorHAnsi" w:hAnsiTheme="minorHAnsi"/>
          <w:b/>
          <w:sz w:val="22"/>
          <w:szCs w:val="22"/>
          <w:u w:val="single"/>
        </w:rPr>
        <w:t>/2</w:t>
      </w:r>
      <w:r>
        <w:rPr>
          <w:rFonts w:asciiTheme="minorHAnsi" w:hAnsiTheme="minorHAnsi"/>
          <w:b/>
          <w:sz w:val="22"/>
          <w:szCs w:val="22"/>
          <w:u w:val="single"/>
        </w:rPr>
        <w:t>006</w:t>
      </w:r>
      <w:r w:rsidRPr="00160C3A">
        <w:rPr>
          <w:rFonts w:asciiTheme="minorHAnsi" w:hAnsiTheme="minorHAnsi"/>
          <w:b/>
          <w:sz w:val="22"/>
          <w:szCs w:val="22"/>
          <w:u w:val="single"/>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3"/>
        <w:gridCol w:w="2241"/>
        <w:gridCol w:w="2481"/>
        <w:gridCol w:w="1909"/>
      </w:tblGrid>
      <w:tr w:rsidR="003E13FF" w:rsidRPr="00283BB1" w14:paraId="4FD3283C" w14:textId="77777777" w:rsidTr="003E13FF">
        <w:tc>
          <w:tcPr>
            <w:tcW w:w="0" w:type="auto"/>
          </w:tcPr>
          <w:p w14:paraId="2089AE31" w14:textId="77777777" w:rsidR="003E13FF" w:rsidRPr="003E13FF" w:rsidRDefault="003E13FF" w:rsidP="00CC1B05">
            <w:pPr>
              <w:ind w:right="567"/>
              <w:rPr>
                <w:rFonts w:asciiTheme="minorHAnsi" w:hAnsiTheme="minorHAnsi"/>
                <w:sz w:val="22"/>
                <w:szCs w:val="22"/>
              </w:rPr>
            </w:pPr>
            <w:r w:rsidRPr="003E13FF">
              <w:rPr>
                <w:rFonts w:asciiTheme="minorHAnsi" w:hAnsiTheme="minorHAnsi"/>
                <w:sz w:val="22"/>
                <w:szCs w:val="22"/>
              </w:rPr>
              <w:t>Faktor pracovného procesu a prostredia</w:t>
            </w:r>
          </w:p>
        </w:tc>
        <w:tc>
          <w:tcPr>
            <w:tcW w:w="2241" w:type="dxa"/>
          </w:tcPr>
          <w:p w14:paraId="5CEC5847" w14:textId="77777777" w:rsidR="003E13FF" w:rsidRPr="003E13FF" w:rsidRDefault="003E13FF" w:rsidP="00CC1B05">
            <w:pPr>
              <w:ind w:right="567"/>
              <w:rPr>
                <w:rFonts w:asciiTheme="minorHAnsi" w:hAnsiTheme="minorHAnsi"/>
                <w:sz w:val="22"/>
                <w:szCs w:val="22"/>
              </w:rPr>
            </w:pPr>
            <w:r w:rsidRPr="003E13FF">
              <w:rPr>
                <w:rFonts w:asciiTheme="minorHAnsi" w:hAnsiTheme="minorHAnsi"/>
                <w:sz w:val="22"/>
                <w:szCs w:val="22"/>
              </w:rPr>
              <w:t>Neodstrániteľné nebezpečenstvo</w:t>
            </w:r>
          </w:p>
        </w:tc>
        <w:tc>
          <w:tcPr>
            <w:tcW w:w="0" w:type="auto"/>
          </w:tcPr>
          <w:p w14:paraId="72038AC2" w14:textId="77777777" w:rsidR="003E13FF" w:rsidRPr="003E13FF" w:rsidRDefault="003E13FF" w:rsidP="00CC1B05">
            <w:pPr>
              <w:rPr>
                <w:rFonts w:asciiTheme="minorHAnsi" w:hAnsiTheme="minorHAnsi"/>
                <w:b/>
                <w:sz w:val="22"/>
                <w:szCs w:val="22"/>
              </w:rPr>
            </w:pPr>
            <w:r w:rsidRPr="003E13FF">
              <w:rPr>
                <w:rFonts w:asciiTheme="minorHAnsi" w:hAnsiTheme="minorHAnsi"/>
                <w:sz w:val="22"/>
                <w:szCs w:val="22"/>
              </w:rPr>
              <w:t>Neodstrániteľné ohrozenie</w:t>
            </w:r>
          </w:p>
        </w:tc>
        <w:tc>
          <w:tcPr>
            <w:tcW w:w="1909" w:type="dxa"/>
          </w:tcPr>
          <w:p w14:paraId="0CEF350F" w14:textId="77777777" w:rsidR="003E13FF" w:rsidRPr="003E13FF" w:rsidRDefault="003E13FF" w:rsidP="00CC1B05">
            <w:pPr>
              <w:rPr>
                <w:rFonts w:asciiTheme="minorHAnsi" w:hAnsiTheme="minorHAnsi"/>
                <w:sz w:val="22"/>
                <w:szCs w:val="22"/>
              </w:rPr>
            </w:pPr>
            <w:r w:rsidRPr="003E13FF">
              <w:rPr>
                <w:rFonts w:asciiTheme="minorHAnsi" w:hAnsiTheme="minorHAnsi"/>
                <w:sz w:val="22"/>
                <w:szCs w:val="22"/>
              </w:rPr>
              <w:t>Návrh ochranných opatrení</w:t>
            </w:r>
          </w:p>
        </w:tc>
      </w:tr>
      <w:tr w:rsidR="003E13FF" w:rsidRPr="00283BB1" w14:paraId="2610B7E7" w14:textId="77777777" w:rsidTr="003E13FF">
        <w:tc>
          <w:tcPr>
            <w:tcW w:w="0" w:type="auto"/>
          </w:tcPr>
          <w:p w14:paraId="72BB70F1" w14:textId="77777777" w:rsidR="003E13FF" w:rsidRPr="003E13FF" w:rsidRDefault="003E13FF" w:rsidP="00CC1B05">
            <w:pPr>
              <w:rPr>
                <w:rFonts w:asciiTheme="minorHAnsi" w:hAnsiTheme="minorHAnsi"/>
                <w:sz w:val="22"/>
                <w:szCs w:val="22"/>
              </w:rPr>
            </w:pPr>
            <w:r w:rsidRPr="003E13FF">
              <w:rPr>
                <w:rFonts w:asciiTheme="minorHAnsi" w:hAnsiTheme="minorHAnsi"/>
                <w:sz w:val="22"/>
                <w:szCs w:val="22"/>
              </w:rPr>
              <w:t>Elektrická energia</w:t>
            </w:r>
          </w:p>
        </w:tc>
        <w:tc>
          <w:tcPr>
            <w:tcW w:w="2241" w:type="dxa"/>
          </w:tcPr>
          <w:p w14:paraId="1BE8C404" w14:textId="77777777" w:rsidR="003E13FF" w:rsidRPr="003E13FF" w:rsidRDefault="003E13FF" w:rsidP="00CC1B05">
            <w:pPr>
              <w:ind w:right="34"/>
              <w:rPr>
                <w:rFonts w:asciiTheme="minorHAnsi" w:hAnsiTheme="minorHAnsi"/>
                <w:sz w:val="22"/>
                <w:szCs w:val="22"/>
              </w:rPr>
            </w:pPr>
            <w:r w:rsidRPr="003E13FF">
              <w:rPr>
                <w:rFonts w:asciiTheme="minorHAnsi" w:hAnsiTheme="minorHAnsi"/>
                <w:sz w:val="22"/>
                <w:szCs w:val="22"/>
              </w:rPr>
              <w:t>Elektrické napätie a prúdy nebezpečné pre zdravie, život a majetok</w:t>
            </w:r>
          </w:p>
        </w:tc>
        <w:tc>
          <w:tcPr>
            <w:tcW w:w="0" w:type="auto"/>
          </w:tcPr>
          <w:p w14:paraId="4BB487AC" w14:textId="77777777" w:rsidR="003E13FF" w:rsidRPr="003E13FF" w:rsidRDefault="003E13FF" w:rsidP="00CC1B05">
            <w:pPr>
              <w:ind w:right="567"/>
              <w:rPr>
                <w:rFonts w:asciiTheme="minorHAnsi" w:hAnsiTheme="minorHAnsi"/>
                <w:sz w:val="22"/>
                <w:szCs w:val="22"/>
              </w:rPr>
            </w:pPr>
            <w:r w:rsidRPr="003E13FF">
              <w:rPr>
                <w:rFonts w:asciiTheme="minorHAnsi" w:hAnsiTheme="minorHAnsi"/>
                <w:sz w:val="22"/>
                <w:szCs w:val="22"/>
              </w:rPr>
              <w:t>Elektrický skrat, vznik požiaru</w:t>
            </w:r>
          </w:p>
        </w:tc>
        <w:tc>
          <w:tcPr>
            <w:tcW w:w="1909" w:type="dxa"/>
          </w:tcPr>
          <w:p w14:paraId="67C5B07E" w14:textId="77777777" w:rsidR="003E13FF" w:rsidRPr="003E13FF" w:rsidRDefault="003E13FF" w:rsidP="00CC1B05">
            <w:pPr>
              <w:ind w:right="567"/>
              <w:rPr>
                <w:rFonts w:asciiTheme="minorHAnsi" w:hAnsiTheme="minorHAnsi"/>
                <w:sz w:val="22"/>
                <w:szCs w:val="22"/>
              </w:rPr>
            </w:pPr>
            <w:r w:rsidRPr="003E13FF">
              <w:rPr>
                <w:rFonts w:asciiTheme="minorHAnsi" w:hAnsiTheme="minorHAnsi"/>
                <w:sz w:val="22"/>
                <w:szCs w:val="22"/>
              </w:rPr>
              <w:t>Bod 1-8</w:t>
            </w:r>
          </w:p>
        </w:tc>
      </w:tr>
      <w:tr w:rsidR="003E13FF" w:rsidRPr="00283BB1" w14:paraId="3C0AFE02" w14:textId="77777777" w:rsidTr="003E13FF">
        <w:tc>
          <w:tcPr>
            <w:tcW w:w="0" w:type="auto"/>
          </w:tcPr>
          <w:p w14:paraId="6A6BE27F" w14:textId="77777777" w:rsidR="003E13FF" w:rsidRPr="003E13FF" w:rsidRDefault="003E13FF" w:rsidP="00CC1B05">
            <w:pPr>
              <w:ind w:right="28"/>
              <w:rPr>
                <w:rFonts w:asciiTheme="minorHAnsi" w:hAnsiTheme="minorHAnsi"/>
                <w:sz w:val="22"/>
                <w:szCs w:val="22"/>
              </w:rPr>
            </w:pPr>
            <w:r w:rsidRPr="003E13FF">
              <w:rPr>
                <w:rFonts w:asciiTheme="minorHAnsi" w:hAnsiTheme="minorHAnsi"/>
                <w:sz w:val="22"/>
                <w:szCs w:val="22"/>
              </w:rPr>
              <w:t>Elektrická energia</w:t>
            </w:r>
          </w:p>
        </w:tc>
        <w:tc>
          <w:tcPr>
            <w:tcW w:w="2241" w:type="dxa"/>
          </w:tcPr>
          <w:p w14:paraId="47DD0A36" w14:textId="77777777" w:rsidR="003E13FF" w:rsidRPr="003E13FF" w:rsidRDefault="003E13FF" w:rsidP="00CC1B05">
            <w:pPr>
              <w:rPr>
                <w:rFonts w:asciiTheme="minorHAnsi" w:hAnsiTheme="minorHAnsi"/>
                <w:b/>
                <w:sz w:val="22"/>
                <w:szCs w:val="22"/>
              </w:rPr>
            </w:pPr>
            <w:r w:rsidRPr="003E13FF">
              <w:rPr>
                <w:rFonts w:asciiTheme="minorHAnsi" w:hAnsiTheme="minorHAnsi"/>
                <w:sz w:val="22"/>
                <w:szCs w:val="22"/>
              </w:rPr>
              <w:t>Elektrické napätie a prúdy nebezpečné pre zdravie, život a majetok</w:t>
            </w:r>
          </w:p>
        </w:tc>
        <w:tc>
          <w:tcPr>
            <w:tcW w:w="0" w:type="auto"/>
          </w:tcPr>
          <w:p w14:paraId="05DD9EED" w14:textId="77777777" w:rsidR="003E13FF" w:rsidRPr="003E13FF" w:rsidRDefault="003E13FF" w:rsidP="00CC1B05">
            <w:pPr>
              <w:rPr>
                <w:rFonts w:asciiTheme="minorHAnsi" w:hAnsiTheme="minorHAnsi"/>
                <w:sz w:val="22"/>
                <w:szCs w:val="22"/>
              </w:rPr>
            </w:pPr>
            <w:r w:rsidRPr="003E13FF">
              <w:rPr>
                <w:rFonts w:asciiTheme="minorHAnsi" w:hAnsiTheme="minorHAnsi"/>
                <w:sz w:val="22"/>
                <w:szCs w:val="22"/>
              </w:rPr>
              <w:t xml:space="preserve">Dotyk živej časti v normálnej prevádzke </w:t>
            </w:r>
          </w:p>
        </w:tc>
        <w:tc>
          <w:tcPr>
            <w:tcW w:w="1909" w:type="dxa"/>
          </w:tcPr>
          <w:p w14:paraId="22268D64" w14:textId="77777777" w:rsidR="003E13FF" w:rsidRPr="003E13FF" w:rsidRDefault="003E13FF" w:rsidP="00CC1B05">
            <w:pPr>
              <w:ind w:right="567"/>
              <w:rPr>
                <w:rFonts w:asciiTheme="minorHAnsi" w:hAnsiTheme="minorHAnsi"/>
                <w:b/>
                <w:sz w:val="22"/>
                <w:szCs w:val="22"/>
              </w:rPr>
            </w:pPr>
            <w:r w:rsidRPr="003E13FF">
              <w:rPr>
                <w:rFonts w:asciiTheme="minorHAnsi" w:hAnsiTheme="minorHAnsi"/>
                <w:sz w:val="22"/>
                <w:szCs w:val="22"/>
              </w:rPr>
              <w:t>Bod 1-6, 8</w:t>
            </w:r>
          </w:p>
        </w:tc>
      </w:tr>
      <w:tr w:rsidR="003E13FF" w:rsidRPr="00283BB1" w14:paraId="097CBA3E" w14:textId="77777777" w:rsidTr="003E13FF">
        <w:tc>
          <w:tcPr>
            <w:tcW w:w="0" w:type="auto"/>
          </w:tcPr>
          <w:p w14:paraId="0CBF73E9" w14:textId="77777777" w:rsidR="003E13FF" w:rsidRPr="003E13FF" w:rsidRDefault="003E13FF" w:rsidP="00CC1B05">
            <w:pPr>
              <w:ind w:right="567"/>
              <w:rPr>
                <w:rFonts w:asciiTheme="minorHAnsi" w:hAnsiTheme="minorHAnsi"/>
                <w:b/>
                <w:sz w:val="22"/>
                <w:szCs w:val="22"/>
              </w:rPr>
            </w:pPr>
            <w:r w:rsidRPr="003E13FF">
              <w:rPr>
                <w:rFonts w:asciiTheme="minorHAnsi" w:hAnsiTheme="minorHAnsi"/>
                <w:sz w:val="22"/>
                <w:szCs w:val="22"/>
              </w:rPr>
              <w:lastRenderedPageBreak/>
              <w:t>Elektrická energia</w:t>
            </w:r>
          </w:p>
        </w:tc>
        <w:tc>
          <w:tcPr>
            <w:tcW w:w="2241" w:type="dxa"/>
          </w:tcPr>
          <w:p w14:paraId="27CE7BAD" w14:textId="77777777" w:rsidR="003E13FF" w:rsidRPr="003E13FF" w:rsidRDefault="003E13FF" w:rsidP="00CC1B05">
            <w:pPr>
              <w:ind w:right="567"/>
              <w:rPr>
                <w:rFonts w:asciiTheme="minorHAnsi" w:hAnsiTheme="minorHAnsi"/>
                <w:b/>
                <w:sz w:val="22"/>
                <w:szCs w:val="22"/>
              </w:rPr>
            </w:pPr>
            <w:r w:rsidRPr="003E13FF">
              <w:rPr>
                <w:rFonts w:asciiTheme="minorHAnsi" w:hAnsiTheme="minorHAnsi"/>
                <w:sz w:val="22"/>
                <w:szCs w:val="22"/>
              </w:rPr>
              <w:t>Elektrické napätie a prúdy nebezpečné pre zdravie, život a majetok</w:t>
            </w:r>
          </w:p>
        </w:tc>
        <w:tc>
          <w:tcPr>
            <w:tcW w:w="0" w:type="auto"/>
          </w:tcPr>
          <w:p w14:paraId="376B6102" w14:textId="77777777" w:rsidR="003E13FF" w:rsidRPr="003E13FF" w:rsidRDefault="003E13FF" w:rsidP="00CC1B05">
            <w:pPr>
              <w:rPr>
                <w:rFonts w:asciiTheme="minorHAnsi" w:hAnsiTheme="minorHAnsi"/>
                <w:b/>
                <w:sz w:val="22"/>
                <w:szCs w:val="22"/>
              </w:rPr>
            </w:pPr>
            <w:r w:rsidRPr="003E13FF">
              <w:rPr>
                <w:rFonts w:asciiTheme="minorHAnsi" w:hAnsiTheme="minorHAnsi"/>
                <w:sz w:val="22"/>
                <w:szCs w:val="22"/>
              </w:rPr>
              <w:t>Dotyk neživej časti poruche</w:t>
            </w:r>
          </w:p>
        </w:tc>
        <w:tc>
          <w:tcPr>
            <w:tcW w:w="1909" w:type="dxa"/>
          </w:tcPr>
          <w:p w14:paraId="2D75564E" w14:textId="77777777" w:rsidR="003E13FF" w:rsidRPr="003E13FF" w:rsidRDefault="003E13FF" w:rsidP="00CC1B05">
            <w:pPr>
              <w:ind w:right="567"/>
              <w:rPr>
                <w:rFonts w:asciiTheme="minorHAnsi" w:hAnsiTheme="minorHAnsi"/>
                <w:b/>
                <w:sz w:val="22"/>
                <w:szCs w:val="22"/>
              </w:rPr>
            </w:pPr>
            <w:r w:rsidRPr="003E13FF">
              <w:rPr>
                <w:rFonts w:asciiTheme="minorHAnsi" w:hAnsiTheme="minorHAnsi"/>
                <w:sz w:val="22"/>
                <w:szCs w:val="22"/>
              </w:rPr>
              <w:t>Bod 1-5, 7, 8</w:t>
            </w:r>
          </w:p>
        </w:tc>
      </w:tr>
    </w:tbl>
    <w:p w14:paraId="11019014" w14:textId="77777777" w:rsidR="003E13FF" w:rsidRPr="003E13FF" w:rsidRDefault="003E13FF" w:rsidP="003E13FF">
      <w:pPr>
        <w:rPr>
          <w:rFonts w:asciiTheme="minorHAnsi" w:hAnsiTheme="minorHAnsi"/>
          <w:sz w:val="22"/>
          <w:szCs w:val="22"/>
        </w:rPr>
      </w:pPr>
      <w:r w:rsidRPr="003E13FF">
        <w:rPr>
          <w:rFonts w:asciiTheme="minorHAnsi" w:hAnsiTheme="minorHAnsi"/>
          <w:sz w:val="22"/>
          <w:szCs w:val="22"/>
        </w:rPr>
        <w:t>Návrh ochranných opatrení:</w:t>
      </w:r>
    </w:p>
    <w:p w14:paraId="0401018C" w14:textId="77777777" w:rsidR="003E13FF" w:rsidRPr="003E13FF" w:rsidRDefault="003E13FF" w:rsidP="003E13FF">
      <w:pPr>
        <w:widowControl w:val="0"/>
        <w:numPr>
          <w:ilvl w:val="0"/>
          <w:numId w:val="21"/>
        </w:numPr>
        <w:adjustRightInd w:val="0"/>
        <w:jc w:val="both"/>
        <w:textAlignment w:val="baseline"/>
        <w:rPr>
          <w:rFonts w:asciiTheme="minorHAnsi" w:hAnsiTheme="minorHAnsi"/>
          <w:sz w:val="22"/>
          <w:szCs w:val="22"/>
        </w:rPr>
      </w:pPr>
      <w:r w:rsidRPr="003E13FF">
        <w:rPr>
          <w:rFonts w:asciiTheme="minorHAnsi" w:hAnsiTheme="minorHAnsi"/>
          <w:sz w:val="22"/>
          <w:szCs w:val="22"/>
        </w:rPr>
        <w:t>Poučenie obsluhy podľa § 23 vyhlášky č. 205/2010 Zb. o odbornej spôsobilosti v elektrotechnike.</w:t>
      </w:r>
    </w:p>
    <w:p w14:paraId="35A506C4" w14:textId="77777777" w:rsidR="003E13FF" w:rsidRPr="003E13FF" w:rsidRDefault="003E13FF" w:rsidP="003E13FF">
      <w:pPr>
        <w:widowControl w:val="0"/>
        <w:numPr>
          <w:ilvl w:val="0"/>
          <w:numId w:val="21"/>
        </w:numPr>
        <w:adjustRightInd w:val="0"/>
        <w:jc w:val="both"/>
        <w:textAlignment w:val="baseline"/>
        <w:rPr>
          <w:rFonts w:asciiTheme="minorHAnsi" w:hAnsiTheme="minorHAnsi"/>
          <w:sz w:val="22"/>
          <w:szCs w:val="22"/>
        </w:rPr>
      </w:pPr>
      <w:r w:rsidRPr="003E13FF">
        <w:rPr>
          <w:rFonts w:asciiTheme="minorHAnsi" w:hAnsiTheme="minorHAnsi"/>
          <w:sz w:val="22"/>
          <w:szCs w:val="22"/>
        </w:rPr>
        <w:t xml:space="preserve">Používanie osobných ochranných a pracovných pomôcok podľa príslušných predpisov a podľa zoznamu vypracovaného prevádzkovateľom. </w:t>
      </w:r>
    </w:p>
    <w:p w14:paraId="17015BCE" w14:textId="77777777" w:rsidR="003E13FF" w:rsidRPr="003E13FF" w:rsidRDefault="003E13FF" w:rsidP="003E13FF">
      <w:pPr>
        <w:widowControl w:val="0"/>
        <w:numPr>
          <w:ilvl w:val="0"/>
          <w:numId w:val="21"/>
        </w:numPr>
        <w:adjustRightInd w:val="0"/>
        <w:jc w:val="both"/>
        <w:textAlignment w:val="baseline"/>
        <w:rPr>
          <w:rFonts w:asciiTheme="minorHAnsi" w:hAnsiTheme="minorHAnsi"/>
          <w:sz w:val="22"/>
          <w:szCs w:val="22"/>
        </w:rPr>
      </w:pPr>
      <w:r w:rsidRPr="003E13FF">
        <w:rPr>
          <w:rFonts w:asciiTheme="minorHAnsi" w:hAnsiTheme="minorHAnsi"/>
          <w:sz w:val="22"/>
          <w:szCs w:val="22"/>
        </w:rPr>
        <w:t>Dodržiavanie zákazu vstupu nepovolaným osobám.</w:t>
      </w:r>
    </w:p>
    <w:p w14:paraId="2A2BB612" w14:textId="77777777" w:rsidR="003E13FF" w:rsidRPr="003E13FF" w:rsidRDefault="003E13FF" w:rsidP="003E13FF">
      <w:pPr>
        <w:widowControl w:val="0"/>
        <w:numPr>
          <w:ilvl w:val="0"/>
          <w:numId w:val="21"/>
        </w:numPr>
        <w:adjustRightInd w:val="0"/>
        <w:jc w:val="both"/>
        <w:textAlignment w:val="baseline"/>
        <w:rPr>
          <w:rFonts w:asciiTheme="minorHAnsi" w:hAnsiTheme="minorHAnsi"/>
          <w:sz w:val="22"/>
          <w:szCs w:val="22"/>
        </w:rPr>
      </w:pPr>
      <w:r w:rsidRPr="003E13FF">
        <w:rPr>
          <w:rFonts w:asciiTheme="minorHAnsi" w:hAnsiTheme="minorHAnsi"/>
          <w:sz w:val="22"/>
          <w:szCs w:val="22"/>
        </w:rPr>
        <w:t>Práce na elektrických zariadeniach môžu vykonávať len zamestnanci (fyzické osoby) s predpísanou kvalifikáciou podľa vyhlášky č. 205/2010 Zb.</w:t>
      </w:r>
    </w:p>
    <w:p w14:paraId="69F487E9" w14:textId="77777777" w:rsidR="003E13FF" w:rsidRPr="003E13FF" w:rsidRDefault="003E13FF" w:rsidP="003E13FF">
      <w:pPr>
        <w:widowControl w:val="0"/>
        <w:numPr>
          <w:ilvl w:val="0"/>
          <w:numId w:val="21"/>
        </w:numPr>
        <w:adjustRightInd w:val="0"/>
        <w:jc w:val="both"/>
        <w:textAlignment w:val="baseline"/>
        <w:rPr>
          <w:rFonts w:asciiTheme="minorHAnsi" w:hAnsiTheme="minorHAnsi"/>
          <w:sz w:val="22"/>
          <w:szCs w:val="22"/>
        </w:rPr>
      </w:pPr>
      <w:r w:rsidRPr="003E13FF">
        <w:rPr>
          <w:rFonts w:asciiTheme="minorHAnsi" w:hAnsiTheme="minorHAnsi"/>
          <w:sz w:val="22"/>
          <w:szCs w:val="22"/>
        </w:rPr>
        <w:t>Práce s otvoreným ohňom vykonávať len výnimočne na základe povolenia prevádzkovateľa.</w:t>
      </w:r>
    </w:p>
    <w:p w14:paraId="650ED866" w14:textId="77777777" w:rsidR="003E13FF" w:rsidRPr="003E13FF" w:rsidRDefault="003E13FF" w:rsidP="003E13FF">
      <w:pPr>
        <w:widowControl w:val="0"/>
        <w:numPr>
          <w:ilvl w:val="0"/>
          <w:numId w:val="21"/>
        </w:numPr>
        <w:adjustRightInd w:val="0"/>
        <w:jc w:val="both"/>
        <w:textAlignment w:val="baseline"/>
        <w:rPr>
          <w:rFonts w:asciiTheme="minorHAnsi" w:hAnsiTheme="minorHAnsi"/>
          <w:sz w:val="22"/>
          <w:szCs w:val="22"/>
        </w:rPr>
      </w:pPr>
      <w:r w:rsidRPr="003E13FF">
        <w:rPr>
          <w:rFonts w:asciiTheme="minorHAnsi" w:hAnsiTheme="minorHAnsi"/>
          <w:sz w:val="22"/>
          <w:szCs w:val="22"/>
        </w:rPr>
        <w:t>Ochrana pred zásahom elektrickým prúdom - základná ochrana v normálnej prevádzke</w:t>
      </w:r>
    </w:p>
    <w:p w14:paraId="0590AA55" w14:textId="77777777" w:rsidR="003E13FF" w:rsidRPr="003E13FF" w:rsidRDefault="003E13FF" w:rsidP="003E13FF">
      <w:pPr>
        <w:widowControl w:val="0"/>
        <w:numPr>
          <w:ilvl w:val="0"/>
          <w:numId w:val="21"/>
        </w:numPr>
        <w:adjustRightInd w:val="0"/>
        <w:jc w:val="both"/>
        <w:textAlignment w:val="baseline"/>
        <w:rPr>
          <w:rFonts w:asciiTheme="minorHAnsi" w:hAnsiTheme="minorHAnsi"/>
          <w:sz w:val="22"/>
          <w:szCs w:val="22"/>
        </w:rPr>
      </w:pPr>
      <w:r w:rsidRPr="003E13FF">
        <w:rPr>
          <w:rFonts w:asciiTheme="minorHAnsi" w:hAnsiTheme="minorHAnsi"/>
          <w:sz w:val="22"/>
          <w:szCs w:val="22"/>
        </w:rPr>
        <w:t>Ochrana pred zásahom elektrickým prúdom - ochrana pri poruche</w:t>
      </w:r>
    </w:p>
    <w:p w14:paraId="19E33A3A" w14:textId="77777777" w:rsidR="003E13FF" w:rsidRPr="003E13FF" w:rsidRDefault="003E13FF" w:rsidP="003E13FF">
      <w:pPr>
        <w:widowControl w:val="0"/>
        <w:numPr>
          <w:ilvl w:val="0"/>
          <w:numId w:val="21"/>
        </w:numPr>
        <w:adjustRightInd w:val="0"/>
        <w:jc w:val="both"/>
        <w:textAlignment w:val="baseline"/>
        <w:rPr>
          <w:rFonts w:asciiTheme="minorHAnsi" w:hAnsiTheme="minorHAnsi"/>
          <w:sz w:val="22"/>
          <w:szCs w:val="22"/>
        </w:rPr>
      </w:pPr>
      <w:r w:rsidRPr="003E13FF">
        <w:rPr>
          <w:rFonts w:asciiTheme="minorHAnsi" w:hAnsiTheme="minorHAnsi"/>
          <w:sz w:val="22"/>
          <w:szCs w:val="22"/>
        </w:rPr>
        <w:t>Revízie a prehliadky elektrických inštalácií vykonávané osobami s predpísanou elektrotechnickou kvalifikáciou.</w:t>
      </w:r>
    </w:p>
    <w:p w14:paraId="3D3D7127" w14:textId="03E7AF4A" w:rsidR="005D277D" w:rsidRDefault="003E13FF" w:rsidP="00CC1B05">
      <w:pPr>
        <w:widowControl w:val="0"/>
        <w:adjustRightInd w:val="0"/>
        <w:textAlignment w:val="baseline"/>
        <w:rPr>
          <w:rFonts w:asciiTheme="minorHAnsi" w:hAnsiTheme="minorHAnsi"/>
          <w:sz w:val="22"/>
          <w:szCs w:val="22"/>
        </w:rPr>
      </w:pPr>
      <w:r w:rsidRPr="003E13FF">
        <w:rPr>
          <w:rFonts w:asciiTheme="minorHAnsi" w:hAnsiTheme="minorHAnsi"/>
          <w:sz w:val="22"/>
          <w:szCs w:val="22"/>
        </w:rPr>
        <w:t xml:space="preserve">   Pri správnej montáži elektrickej inštalácie, pri uplatnení a dodržiavaní právnych predpisov, slovenských technických noriem, pokynov na obsluhu a údržbu a ostatných predpisov na zaistenie bezpečnosti a ochrany zdravia pri práci nevzniknú od elektrickej energie neodstrániteľné nebezpečenstvá a neodstrániteľné ohrozenia v zmysle uvedeného zákona.</w:t>
      </w:r>
    </w:p>
    <w:p w14:paraId="792AB3D7" w14:textId="77777777" w:rsidR="00AF6ACC" w:rsidRPr="00CC1B05" w:rsidRDefault="00AF6ACC" w:rsidP="00CC1B05">
      <w:pPr>
        <w:widowControl w:val="0"/>
        <w:adjustRightInd w:val="0"/>
        <w:textAlignment w:val="baseline"/>
        <w:rPr>
          <w:rFonts w:asciiTheme="minorHAnsi" w:hAnsiTheme="minorHAnsi"/>
          <w:sz w:val="22"/>
          <w:szCs w:val="22"/>
        </w:rPr>
      </w:pPr>
    </w:p>
    <w:p w14:paraId="764234AA" w14:textId="77777777" w:rsidR="005D277D" w:rsidRPr="00CD441D" w:rsidRDefault="005D277D" w:rsidP="005D277D">
      <w:pPr>
        <w:contextualSpacing/>
        <w:jc w:val="both"/>
        <w:rPr>
          <w:rFonts w:ascii="Calibri" w:hAnsi="Calibri" w:cs="Arial"/>
          <w:b/>
          <w:sz w:val="28"/>
          <w:szCs w:val="28"/>
          <w:u w:val="single"/>
        </w:rPr>
      </w:pPr>
      <w:r>
        <w:rPr>
          <w:rFonts w:ascii="Calibri" w:hAnsi="Calibri" w:cs="Arial"/>
          <w:b/>
          <w:sz w:val="28"/>
          <w:szCs w:val="28"/>
          <w:u w:val="single"/>
        </w:rPr>
        <w:t>4. VPLYV NA ŽIVOTNÉ PROSTREDIE A ODPADY</w:t>
      </w:r>
      <w:r w:rsidRPr="00CD441D">
        <w:rPr>
          <w:rFonts w:ascii="Calibri" w:hAnsi="Calibri" w:cs="Arial"/>
          <w:b/>
          <w:sz w:val="28"/>
          <w:szCs w:val="28"/>
          <w:u w:val="single"/>
        </w:rPr>
        <w:t>:</w:t>
      </w:r>
    </w:p>
    <w:p w14:paraId="64EB5DCF" w14:textId="77777777" w:rsidR="005D277D" w:rsidRDefault="005D277D" w:rsidP="005D277D">
      <w:pPr>
        <w:pStyle w:val="Pta"/>
        <w:tabs>
          <w:tab w:val="left" w:pos="708"/>
        </w:tabs>
        <w:contextualSpacing/>
        <w:rPr>
          <w:rFonts w:asciiTheme="minorHAnsi" w:hAnsiTheme="minorHAnsi" w:cstheme="minorHAnsi"/>
          <w:sz w:val="22"/>
        </w:rPr>
      </w:pPr>
      <w:r>
        <w:rPr>
          <w:rFonts w:asciiTheme="minorHAnsi" w:hAnsiTheme="minorHAnsi" w:cstheme="minorHAnsi"/>
          <w:sz w:val="22"/>
        </w:rPr>
        <w:t xml:space="preserve">         </w:t>
      </w:r>
      <w:r w:rsidRPr="00A51B32">
        <w:rPr>
          <w:rFonts w:asciiTheme="minorHAnsi" w:hAnsiTheme="minorHAnsi" w:cstheme="minorHAnsi"/>
          <w:sz w:val="22"/>
        </w:rPr>
        <w:t>Stavba,  nemá nepriaznivý vplyv na životné prostredie. Pri jej realizácií nedôjde k nepriaznivým vplyvom na okolité prostredie.</w:t>
      </w:r>
    </w:p>
    <w:p w14:paraId="347AB860" w14:textId="77777777" w:rsidR="005D277D" w:rsidRPr="00E42363" w:rsidRDefault="005D277D" w:rsidP="005D277D">
      <w:pPr>
        <w:autoSpaceDE w:val="0"/>
        <w:autoSpaceDN w:val="0"/>
        <w:adjustRightInd w:val="0"/>
        <w:jc w:val="both"/>
        <w:rPr>
          <w:rFonts w:asciiTheme="minorHAnsi" w:eastAsia="TimesNewRomanPSMT" w:hAnsiTheme="minorHAnsi" w:cstheme="minorHAnsi"/>
          <w:sz w:val="22"/>
          <w:szCs w:val="22"/>
          <w:lang w:eastAsia="sk-SK"/>
        </w:rPr>
      </w:pPr>
      <w:r w:rsidRPr="00E42363">
        <w:rPr>
          <w:rFonts w:asciiTheme="minorHAnsi" w:eastAsia="TimesNewRomanPSMT" w:hAnsiTheme="minorHAnsi" w:cstheme="minorHAnsi"/>
          <w:sz w:val="22"/>
          <w:szCs w:val="22"/>
          <w:lang w:eastAsia="sk-SK"/>
        </w:rPr>
        <w:t>Výstavba zámeru je spojená so vznikom odpadov. Pri výstavbe navrhovaného zámeru</w:t>
      </w:r>
      <w:r>
        <w:rPr>
          <w:rFonts w:asciiTheme="minorHAnsi" w:eastAsia="TimesNewRomanPSMT" w:hAnsiTheme="minorHAnsi" w:cstheme="minorHAnsi"/>
          <w:sz w:val="22"/>
          <w:szCs w:val="22"/>
          <w:lang w:eastAsia="sk-SK"/>
        </w:rPr>
        <w:t xml:space="preserve"> </w:t>
      </w:r>
      <w:r w:rsidRPr="00E42363">
        <w:rPr>
          <w:rFonts w:asciiTheme="minorHAnsi" w:eastAsia="TimesNewRomanPSMT" w:hAnsiTheme="minorHAnsi" w:cstheme="minorHAnsi"/>
          <w:sz w:val="22"/>
          <w:szCs w:val="22"/>
          <w:lang w:eastAsia="sk-SK"/>
        </w:rPr>
        <w:t>je predpoklad vzniku odpadov kategórií O – ostatný</w:t>
      </w:r>
      <w:r>
        <w:rPr>
          <w:rFonts w:asciiTheme="minorHAnsi" w:eastAsia="TimesNewRomanPSMT" w:hAnsiTheme="minorHAnsi" w:cstheme="minorHAnsi"/>
          <w:sz w:val="22"/>
          <w:szCs w:val="22"/>
          <w:lang w:eastAsia="sk-SK"/>
        </w:rPr>
        <w:t>ch</w:t>
      </w:r>
      <w:r w:rsidRPr="00E42363">
        <w:rPr>
          <w:rFonts w:asciiTheme="minorHAnsi" w:eastAsia="TimesNewRomanPSMT" w:hAnsiTheme="minorHAnsi" w:cstheme="minorHAnsi"/>
          <w:sz w:val="22"/>
          <w:szCs w:val="22"/>
          <w:lang w:eastAsia="sk-SK"/>
        </w:rPr>
        <w:t>. V priebehu výstavby</w:t>
      </w:r>
      <w:r>
        <w:rPr>
          <w:rFonts w:asciiTheme="minorHAnsi" w:eastAsia="TimesNewRomanPSMT" w:hAnsiTheme="minorHAnsi" w:cstheme="minorHAnsi"/>
          <w:sz w:val="22"/>
          <w:szCs w:val="22"/>
          <w:lang w:eastAsia="sk-SK"/>
        </w:rPr>
        <w:t xml:space="preserve"> na objekte</w:t>
      </w:r>
      <w:r w:rsidRPr="00E42363">
        <w:rPr>
          <w:rFonts w:asciiTheme="minorHAnsi" w:eastAsia="TimesNewRomanPSMT" w:hAnsiTheme="minorHAnsi" w:cstheme="minorHAnsi"/>
          <w:sz w:val="22"/>
          <w:szCs w:val="22"/>
          <w:lang w:eastAsia="sk-SK"/>
        </w:rPr>
        <w:t xml:space="preserve"> vzniknú predovšetkým odpady, ktoré patria do skupiny 17 – stavebné odpady a</w:t>
      </w:r>
      <w:r>
        <w:rPr>
          <w:rFonts w:asciiTheme="minorHAnsi" w:eastAsia="TimesNewRomanPSMT" w:hAnsiTheme="minorHAnsi" w:cstheme="minorHAnsi"/>
          <w:sz w:val="22"/>
          <w:szCs w:val="22"/>
          <w:lang w:eastAsia="sk-SK"/>
        </w:rPr>
        <w:t> </w:t>
      </w:r>
      <w:r w:rsidRPr="00E42363">
        <w:rPr>
          <w:rFonts w:asciiTheme="minorHAnsi" w:eastAsia="TimesNewRomanPSMT" w:hAnsiTheme="minorHAnsi" w:cstheme="minorHAnsi"/>
          <w:sz w:val="22"/>
          <w:szCs w:val="22"/>
          <w:lang w:eastAsia="sk-SK"/>
        </w:rPr>
        <w:t>odpady</w:t>
      </w:r>
      <w:r>
        <w:rPr>
          <w:rFonts w:asciiTheme="minorHAnsi" w:eastAsia="TimesNewRomanPSMT" w:hAnsiTheme="minorHAnsi" w:cstheme="minorHAnsi"/>
          <w:sz w:val="22"/>
          <w:szCs w:val="22"/>
          <w:lang w:eastAsia="sk-SK"/>
        </w:rPr>
        <w:t xml:space="preserve"> </w:t>
      </w:r>
      <w:r w:rsidRPr="00E42363">
        <w:rPr>
          <w:rFonts w:asciiTheme="minorHAnsi" w:eastAsia="TimesNewRomanPSMT" w:hAnsiTheme="minorHAnsi" w:cstheme="minorHAnsi"/>
          <w:sz w:val="22"/>
          <w:szCs w:val="22"/>
          <w:lang w:eastAsia="sk-SK"/>
        </w:rPr>
        <w:t>z demolácií.</w:t>
      </w:r>
      <w:r>
        <w:rPr>
          <w:rFonts w:asciiTheme="minorHAnsi" w:eastAsia="TimesNewRomanPSMT" w:hAnsiTheme="minorHAnsi" w:cstheme="minorHAnsi"/>
          <w:sz w:val="22"/>
          <w:szCs w:val="22"/>
          <w:lang w:eastAsia="sk-SK"/>
        </w:rPr>
        <w:t xml:space="preserve"> Počas prevádzky daného objektu odpady nebudú vznikať.</w:t>
      </w:r>
    </w:p>
    <w:p w14:paraId="62FFFD1C" w14:textId="77777777" w:rsidR="005D277D" w:rsidRPr="00E42363" w:rsidRDefault="005D277D" w:rsidP="005D277D">
      <w:pPr>
        <w:autoSpaceDE w:val="0"/>
        <w:autoSpaceDN w:val="0"/>
        <w:adjustRightInd w:val="0"/>
        <w:jc w:val="both"/>
        <w:rPr>
          <w:rFonts w:asciiTheme="minorHAnsi" w:eastAsia="TimesNewRomanPSMT" w:hAnsiTheme="minorHAnsi" w:cstheme="minorHAnsi"/>
          <w:sz w:val="22"/>
          <w:szCs w:val="22"/>
          <w:lang w:eastAsia="sk-SK"/>
        </w:rPr>
      </w:pPr>
      <w:r w:rsidRPr="00E42363">
        <w:rPr>
          <w:rFonts w:asciiTheme="minorHAnsi" w:eastAsia="TimesNewRomanPSMT" w:hAnsiTheme="minorHAnsi" w:cstheme="minorHAnsi"/>
          <w:sz w:val="22"/>
          <w:szCs w:val="22"/>
          <w:lang w:eastAsia="sk-SK"/>
        </w:rPr>
        <w:t>Podľa vyhlášky MŽP SR č. 365/2015 Z.z., ktorou sa ustanovuje Katalóg odpadov je predpoklad</w:t>
      </w:r>
    </w:p>
    <w:p w14:paraId="119E0AE5" w14:textId="77777777" w:rsidR="005D277D" w:rsidRDefault="005D277D" w:rsidP="005D277D">
      <w:pPr>
        <w:pStyle w:val="Hlavika"/>
        <w:jc w:val="both"/>
        <w:rPr>
          <w:rFonts w:asciiTheme="minorHAnsi" w:eastAsia="TimesNewRomanPSMT" w:hAnsiTheme="minorHAnsi" w:cstheme="minorHAnsi"/>
          <w:sz w:val="22"/>
          <w:szCs w:val="22"/>
          <w:lang w:eastAsia="sk-SK"/>
        </w:rPr>
      </w:pPr>
      <w:r w:rsidRPr="00E42363">
        <w:rPr>
          <w:rFonts w:asciiTheme="minorHAnsi" w:eastAsia="TimesNewRomanPSMT" w:hAnsiTheme="minorHAnsi" w:cstheme="minorHAnsi"/>
          <w:sz w:val="22"/>
          <w:szCs w:val="22"/>
          <w:lang w:eastAsia="sk-SK"/>
        </w:rPr>
        <w:t>vzniku nasledujúcich druhov odpadov uvedených v</w:t>
      </w:r>
      <w:r>
        <w:rPr>
          <w:rFonts w:asciiTheme="minorHAnsi" w:eastAsia="TimesNewRomanPSMT" w:hAnsiTheme="minorHAnsi" w:cstheme="minorHAnsi"/>
          <w:sz w:val="22"/>
          <w:szCs w:val="22"/>
          <w:lang w:eastAsia="sk-SK"/>
        </w:rPr>
        <w:t xml:space="preserve"> nasledujúcej</w:t>
      </w:r>
      <w:r w:rsidRPr="00E42363">
        <w:rPr>
          <w:rFonts w:asciiTheme="minorHAnsi" w:eastAsia="TimesNewRomanPSMT" w:hAnsiTheme="minorHAnsi" w:cstheme="minorHAnsi"/>
          <w:sz w:val="22"/>
          <w:szCs w:val="22"/>
          <w:lang w:eastAsia="sk-SK"/>
        </w:rPr>
        <w:t xml:space="preserve"> tabuľke</w:t>
      </w:r>
      <w:r>
        <w:rPr>
          <w:rFonts w:asciiTheme="minorHAnsi" w:eastAsia="TimesNewRomanPSMT" w:hAnsiTheme="minorHAnsi" w:cstheme="minorHAnsi"/>
          <w:sz w:val="22"/>
          <w:szCs w:val="22"/>
          <w:lang w:eastAsia="sk-SK"/>
        </w:rPr>
        <w:t>:</w:t>
      </w:r>
    </w:p>
    <w:p w14:paraId="77149FFF" w14:textId="77777777" w:rsidR="005D277D" w:rsidRDefault="005D277D" w:rsidP="005D277D">
      <w:pPr>
        <w:pStyle w:val="Hlavika"/>
        <w:jc w:val="both"/>
      </w:pPr>
    </w:p>
    <w:tbl>
      <w:tblPr>
        <w:tblW w:w="8930" w:type="dxa"/>
        <w:tblInd w:w="172" w:type="dxa"/>
        <w:tblLayout w:type="fixed"/>
        <w:tblCellMar>
          <w:left w:w="30" w:type="dxa"/>
          <w:right w:w="30" w:type="dxa"/>
        </w:tblCellMar>
        <w:tblLook w:val="04A0" w:firstRow="1" w:lastRow="0" w:firstColumn="1" w:lastColumn="0" w:noHBand="0" w:noVBand="1"/>
      </w:tblPr>
      <w:tblGrid>
        <w:gridCol w:w="1276"/>
        <w:gridCol w:w="4393"/>
        <w:gridCol w:w="1135"/>
        <w:gridCol w:w="992"/>
        <w:gridCol w:w="1134"/>
      </w:tblGrid>
      <w:tr w:rsidR="00CC1B05" w14:paraId="36EAD464" w14:textId="77777777" w:rsidTr="00CC1B05">
        <w:trPr>
          <w:trHeight w:val="499"/>
        </w:trPr>
        <w:tc>
          <w:tcPr>
            <w:tcW w:w="1276" w:type="dxa"/>
            <w:tcBorders>
              <w:top w:val="single" w:sz="6" w:space="0" w:color="auto"/>
              <w:left w:val="single" w:sz="6" w:space="0" w:color="auto"/>
              <w:bottom w:val="single" w:sz="6" w:space="0" w:color="auto"/>
              <w:right w:val="single" w:sz="6" w:space="0" w:color="auto"/>
            </w:tcBorders>
            <w:hideMark/>
          </w:tcPr>
          <w:p w14:paraId="6D4AEB4D" w14:textId="77777777" w:rsidR="00CC1B05" w:rsidRPr="00107471" w:rsidRDefault="00CC1B05" w:rsidP="00CC1B05">
            <w:pPr>
              <w:jc w:val="center"/>
              <w:rPr>
                <w:rFonts w:asciiTheme="minorHAnsi" w:hAnsiTheme="minorHAnsi"/>
                <w:b/>
                <w:bCs/>
                <w:color w:val="000000"/>
                <w:sz w:val="22"/>
                <w:szCs w:val="22"/>
              </w:rPr>
            </w:pPr>
            <w:r w:rsidRPr="00107471">
              <w:rPr>
                <w:rFonts w:asciiTheme="minorHAnsi" w:hAnsiTheme="minorHAnsi"/>
                <w:b/>
                <w:bCs/>
                <w:color w:val="000000"/>
                <w:sz w:val="22"/>
                <w:szCs w:val="22"/>
              </w:rPr>
              <w:t>Katalógové</w:t>
            </w:r>
          </w:p>
          <w:p w14:paraId="6E31D7F0" w14:textId="77777777" w:rsidR="00CC1B05" w:rsidRPr="00107471" w:rsidRDefault="00CC1B05" w:rsidP="00CC1B05">
            <w:pPr>
              <w:overflowPunct w:val="0"/>
              <w:autoSpaceDE w:val="0"/>
              <w:autoSpaceDN w:val="0"/>
              <w:adjustRightInd w:val="0"/>
              <w:jc w:val="center"/>
              <w:rPr>
                <w:rFonts w:asciiTheme="minorHAnsi" w:hAnsiTheme="minorHAnsi"/>
                <w:b/>
                <w:bCs/>
                <w:color w:val="000000"/>
                <w:sz w:val="22"/>
                <w:szCs w:val="22"/>
              </w:rPr>
            </w:pPr>
            <w:r w:rsidRPr="00107471">
              <w:rPr>
                <w:rFonts w:asciiTheme="minorHAnsi" w:hAnsiTheme="minorHAnsi"/>
                <w:b/>
                <w:bCs/>
                <w:color w:val="000000"/>
                <w:sz w:val="22"/>
                <w:szCs w:val="22"/>
              </w:rPr>
              <w:t>číslo</w:t>
            </w:r>
          </w:p>
        </w:tc>
        <w:tc>
          <w:tcPr>
            <w:tcW w:w="4393" w:type="dxa"/>
            <w:tcBorders>
              <w:top w:val="single" w:sz="6" w:space="0" w:color="auto"/>
              <w:left w:val="single" w:sz="6" w:space="0" w:color="auto"/>
              <w:bottom w:val="single" w:sz="6" w:space="0" w:color="auto"/>
              <w:right w:val="single" w:sz="6" w:space="0" w:color="auto"/>
            </w:tcBorders>
            <w:hideMark/>
          </w:tcPr>
          <w:p w14:paraId="093612D8" w14:textId="77777777" w:rsidR="00CC1B05" w:rsidRPr="00107471" w:rsidRDefault="00CC1B05" w:rsidP="00CC1B05">
            <w:pPr>
              <w:overflowPunct w:val="0"/>
              <w:autoSpaceDE w:val="0"/>
              <w:autoSpaceDN w:val="0"/>
              <w:adjustRightInd w:val="0"/>
              <w:jc w:val="center"/>
              <w:rPr>
                <w:rFonts w:asciiTheme="minorHAnsi" w:hAnsiTheme="minorHAnsi"/>
                <w:b/>
                <w:bCs/>
                <w:color w:val="000000"/>
                <w:sz w:val="22"/>
                <w:szCs w:val="22"/>
              </w:rPr>
            </w:pPr>
            <w:r w:rsidRPr="00107471">
              <w:rPr>
                <w:rFonts w:asciiTheme="minorHAnsi" w:hAnsiTheme="minorHAnsi"/>
                <w:b/>
                <w:bCs/>
                <w:color w:val="000000"/>
                <w:sz w:val="22"/>
                <w:szCs w:val="22"/>
              </w:rPr>
              <w:t>Názov druhu odpadu</w:t>
            </w:r>
          </w:p>
        </w:tc>
        <w:tc>
          <w:tcPr>
            <w:tcW w:w="1135" w:type="dxa"/>
            <w:tcBorders>
              <w:top w:val="single" w:sz="6" w:space="0" w:color="auto"/>
              <w:left w:val="single" w:sz="6" w:space="0" w:color="auto"/>
              <w:bottom w:val="single" w:sz="6" w:space="0" w:color="auto"/>
              <w:right w:val="single" w:sz="6" w:space="0" w:color="auto"/>
            </w:tcBorders>
            <w:hideMark/>
          </w:tcPr>
          <w:p w14:paraId="7A7D974C" w14:textId="77777777" w:rsidR="00CC1B05" w:rsidRPr="00107471" w:rsidRDefault="00CC1B05" w:rsidP="00CC1B05">
            <w:pPr>
              <w:overflowPunct w:val="0"/>
              <w:autoSpaceDE w:val="0"/>
              <w:autoSpaceDN w:val="0"/>
              <w:adjustRightInd w:val="0"/>
              <w:jc w:val="center"/>
              <w:rPr>
                <w:rFonts w:asciiTheme="minorHAnsi" w:hAnsiTheme="minorHAnsi"/>
                <w:b/>
                <w:bCs/>
                <w:color w:val="000000"/>
                <w:sz w:val="22"/>
                <w:szCs w:val="22"/>
              </w:rPr>
            </w:pPr>
            <w:r w:rsidRPr="00107471">
              <w:rPr>
                <w:rFonts w:asciiTheme="minorHAnsi" w:hAnsiTheme="minorHAnsi"/>
                <w:b/>
                <w:bCs/>
                <w:color w:val="000000"/>
                <w:sz w:val="22"/>
                <w:szCs w:val="22"/>
              </w:rPr>
              <w:t>Kategória</w:t>
            </w:r>
          </w:p>
        </w:tc>
        <w:tc>
          <w:tcPr>
            <w:tcW w:w="992" w:type="dxa"/>
            <w:tcBorders>
              <w:top w:val="single" w:sz="6" w:space="0" w:color="auto"/>
              <w:left w:val="single" w:sz="6" w:space="0" w:color="auto"/>
              <w:bottom w:val="single" w:sz="6" w:space="0" w:color="auto"/>
              <w:right w:val="single" w:sz="6" w:space="0" w:color="auto"/>
            </w:tcBorders>
            <w:hideMark/>
          </w:tcPr>
          <w:p w14:paraId="3F222C9B" w14:textId="77777777" w:rsidR="00CC1B05" w:rsidRPr="00107471" w:rsidRDefault="00CC1B05" w:rsidP="00CC1B05">
            <w:pPr>
              <w:jc w:val="center"/>
              <w:rPr>
                <w:rFonts w:asciiTheme="minorHAnsi" w:hAnsiTheme="minorHAnsi"/>
                <w:b/>
                <w:bCs/>
                <w:color w:val="000000"/>
                <w:sz w:val="22"/>
                <w:szCs w:val="22"/>
              </w:rPr>
            </w:pPr>
            <w:r w:rsidRPr="00107471">
              <w:rPr>
                <w:rFonts w:asciiTheme="minorHAnsi" w:hAnsiTheme="minorHAnsi"/>
                <w:b/>
                <w:bCs/>
                <w:color w:val="000000"/>
                <w:sz w:val="22"/>
                <w:szCs w:val="22"/>
              </w:rPr>
              <w:t>Merná</w:t>
            </w:r>
          </w:p>
          <w:p w14:paraId="1D1602AA" w14:textId="77777777" w:rsidR="00CC1B05" w:rsidRPr="00107471" w:rsidRDefault="00CC1B05" w:rsidP="00CC1B05">
            <w:pPr>
              <w:overflowPunct w:val="0"/>
              <w:autoSpaceDE w:val="0"/>
              <w:autoSpaceDN w:val="0"/>
              <w:adjustRightInd w:val="0"/>
              <w:jc w:val="center"/>
              <w:rPr>
                <w:rFonts w:asciiTheme="minorHAnsi" w:hAnsiTheme="minorHAnsi"/>
                <w:b/>
                <w:bCs/>
                <w:color w:val="000000"/>
                <w:sz w:val="22"/>
                <w:szCs w:val="22"/>
              </w:rPr>
            </w:pPr>
            <w:r w:rsidRPr="00107471">
              <w:rPr>
                <w:rFonts w:asciiTheme="minorHAnsi" w:hAnsiTheme="minorHAnsi"/>
                <w:b/>
                <w:bCs/>
                <w:color w:val="000000"/>
                <w:sz w:val="22"/>
                <w:szCs w:val="22"/>
              </w:rPr>
              <w:t>jednotka</w:t>
            </w:r>
          </w:p>
        </w:tc>
        <w:tc>
          <w:tcPr>
            <w:tcW w:w="1134" w:type="dxa"/>
            <w:tcBorders>
              <w:top w:val="single" w:sz="6" w:space="0" w:color="auto"/>
              <w:left w:val="single" w:sz="6" w:space="0" w:color="auto"/>
              <w:bottom w:val="single" w:sz="6" w:space="0" w:color="auto"/>
              <w:right w:val="single" w:sz="6" w:space="0" w:color="auto"/>
            </w:tcBorders>
            <w:hideMark/>
          </w:tcPr>
          <w:p w14:paraId="7070EAC1" w14:textId="77777777" w:rsidR="00CC1B05" w:rsidRPr="00107471" w:rsidRDefault="00CC1B05" w:rsidP="00CC1B05">
            <w:pPr>
              <w:overflowPunct w:val="0"/>
              <w:autoSpaceDE w:val="0"/>
              <w:autoSpaceDN w:val="0"/>
              <w:adjustRightInd w:val="0"/>
              <w:jc w:val="center"/>
              <w:rPr>
                <w:rFonts w:asciiTheme="minorHAnsi" w:hAnsiTheme="minorHAnsi"/>
                <w:b/>
                <w:bCs/>
                <w:color w:val="000000"/>
                <w:sz w:val="22"/>
                <w:szCs w:val="22"/>
              </w:rPr>
            </w:pPr>
            <w:r w:rsidRPr="00107471">
              <w:rPr>
                <w:rFonts w:asciiTheme="minorHAnsi" w:hAnsiTheme="minorHAnsi"/>
                <w:b/>
                <w:bCs/>
                <w:color w:val="000000"/>
                <w:sz w:val="22"/>
                <w:szCs w:val="22"/>
              </w:rPr>
              <w:t>Množstvo</w:t>
            </w:r>
          </w:p>
        </w:tc>
      </w:tr>
      <w:tr w:rsidR="00CC1B05" w14:paraId="34D5AB9F" w14:textId="77777777" w:rsidTr="00CC1B05">
        <w:trPr>
          <w:trHeight w:val="214"/>
        </w:trPr>
        <w:tc>
          <w:tcPr>
            <w:tcW w:w="1276" w:type="dxa"/>
            <w:tcBorders>
              <w:top w:val="single" w:sz="6" w:space="0" w:color="auto"/>
              <w:left w:val="single" w:sz="6" w:space="0" w:color="auto"/>
              <w:bottom w:val="single" w:sz="6" w:space="0" w:color="auto"/>
              <w:right w:val="single" w:sz="6" w:space="0" w:color="auto"/>
            </w:tcBorders>
            <w:hideMark/>
          </w:tcPr>
          <w:p w14:paraId="69E2D7EB" w14:textId="77777777" w:rsidR="00CC1B05" w:rsidRPr="00107471" w:rsidRDefault="00CC1B05" w:rsidP="00CC1B05">
            <w:pPr>
              <w:overflowPunct w:val="0"/>
              <w:autoSpaceDE w:val="0"/>
              <w:autoSpaceDN w:val="0"/>
              <w:adjustRightInd w:val="0"/>
              <w:rPr>
                <w:rFonts w:asciiTheme="minorHAnsi" w:hAnsiTheme="minorHAnsi"/>
                <w:color w:val="000000"/>
                <w:sz w:val="22"/>
                <w:szCs w:val="22"/>
              </w:rPr>
            </w:pPr>
            <w:r w:rsidRPr="00107471">
              <w:rPr>
                <w:rFonts w:asciiTheme="minorHAnsi" w:hAnsiTheme="minorHAnsi"/>
                <w:color w:val="000000"/>
                <w:sz w:val="22"/>
                <w:szCs w:val="22"/>
              </w:rPr>
              <w:t>17 06 04</w:t>
            </w:r>
          </w:p>
        </w:tc>
        <w:tc>
          <w:tcPr>
            <w:tcW w:w="4393" w:type="dxa"/>
            <w:tcBorders>
              <w:top w:val="single" w:sz="6" w:space="0" w:color="auto"/>
              <w:left w:val="single" w:sz="6" w:space="0" w:color="auto"/>
              <w:bottom w:val="single" w:sz="6" w:space="0" w:color="auto"/>
              <w:right w:val="single" w:sz="6" w:space="0" w:color="auto"/>
            </w:tcBorders>
            <w:hideMark/>
          </w:tcPr>
          <w:p w14:paraId="3E82392C" w14:textId="77777777" w:rsidR="00CC1B05" w:rsidRPr="00107471" w:rsidRDefault="00CC1B05" w:rsidP="00CC1B05">
            <w:pPr>
              <w:overflowPunct w:val="0"/>
              <w:autoSpaceDE w:val="0"/>
              <w:autoSpaceDN w:val="0"/>
              <w:adjustRightInd w:val="0"/>
              <w:rPr>
                <w:rFonts w:asciiTheme="minorHAnsi" w:hAnsiTheme="minorHAnsi"/>
                <w:color w:val="000000"/>
                <w:sz w:val="22"/>
                <w:szCs w:val="22"/>
              </w:rPr>
            </w:pPr>
            <w:r w:rsidRPr="00107471">
              <w:rPr>
                <w:rFonts w:asciiTheme="minorHAnsi" w:hAnsiTheme="minorHAnsi"/>
                <w:color w:val="000000"/>
                <w:sz w:val="22"/>
                <w:szCs w:val="22"/>
              </w:rPr>
              <w:t>Izolačné materiály iné ako uvedené v 17 06 01 a 17 06 03</w:t>
            </w:r>
          </w:p>
        </w:tc>
        <w:tc>
          <w:tcPr>
            <w:tcW w:w="1135" w:type="dxa"/>
            <w:tcBorders>
              <w:top w:val="single" w:sz="6" w:space="0" w:color="auto"/>
              <w:left w:val="single" w:sz="6" w:space="0" w:color="auto"/>
              <w:bottom w:val="single" w:sz="6" w:space="0" w:color="auto"/>
              <w:right w:val="single" w:sz="6" w:space="0" w:color="auto"/>
            </w:tcBorders>
            <w:hideMark/>
          </w:tcPr>
          <w:p w14:paraId="24D82EEB" w14:textId="77777777" w:rsidR="00CC1B05" w:rsidRPr="00107471" w:rsidRDefault="00CC1B05" w:rsidP="00CC1B05">
            <w:pPr>
              <w:overflowPunct w:val="0"/>
              <w:autoSpaceDE w:val="0"/>
              <w:autoSpaceDN w:val="0"/>
              <w:adjustRightInd w:val="0"/>
              <w:jc w:val="center"/>
              <w:rPr>
                <w:rFonts w:asciiTheme="minorHAnsi" w:hAnsiTheme="minorHAnsi"/>
                <w:color w:val="000000"/>
                <w:sz w:val="22"/>
                <w:szCs w:val="22"/>
              </w:rPr>
            </w:pPr>
            <w:r w:rsidRPr="00107471">
              <w:rPr>
                <w:rFonts w:asciiTheme="minorHAnsi" w:hAnsiTheme="minorHAnsi"/>
                <w:color w:val="000000"/>
                <w:sz w:val="22"/>
                <w:szCs w:val="22"/>
              </w:rPr>
              <w:t>O</w:t>
            </w:r>
          </w:p>
        </w:tc>
        <w:tc>
          <w:tcPr>
            <w:tcW w:w="992" w:type="dxa"/>
            <w:tcBorders>
              <w:top w:val="single" w:sz="6" w:space="0" w:color="auto"/>
              <w:left w:val="single" w:sz="6" w:space="0" w:color="auto"/>
              <w:bottom w:val="single" w:sz="6" w:space="0" w:color="auto"/>
              <w:right w:val="single" w:sz="6" w:space="0" w:color="auto"/>
            </w:tcBorders>
            <w:hideMark/>
          </w:tcPr>
          <w:p w14:paraId="148CB05C" w14:textId="77777777" w:rsidR="00CC1B05" w:rsidRPr="00107471" w:rsidRDefault="00CC1B05" w:rsidP="00CC1B05">
            <w:pPr>
              <w:overflowPunct w:val="0"/>
              <w:autoSpaceDE w:val="0"/>
              <w:autoSpaceDN w:val="0"/>
              <w:adjustRightInd w:val="0"/>
              <w:jc w:val="center"/>
              <w:rPr>
                <w:rFonts w:asciiTheme="minorHAnsi" w:hAnsiTheme="minorHAnsi"/>
                <w:color w:val="000000"/>
                <w:sz w:val="22"/>
                <w:szCs w:val="22"/>
              </w:rPr>
            </w:pPr>
            <w:r w:rsidRPr="00107471">
              <w:rPr>
                <w:rFonts w:asciiTheme="minorHAnsi" w:hAnsiTheme="minorHAnsi"/>
                <w:color w:val="000000"/>
                <w:sz w:val="22"/>
                <w:szCs w:val="22"/>
              </w:rPr>
              <w:t>t</w:t>
            </w:r>
          </w:p>
        </w:tc>
        <w:tc>
          <w:tcPr>
            <w:tcW w:w="1134" w:type="dxa"/>
            <w:tcBorders>
              <w:top w:val="single" w:sz="6" w:space="0" w:color="auto"/>
              <w:left w:val="single" w:sz="6" w:space="0" w:color="auto"/>
              <w:bottom w:val="single" w:sz="6" w:space="0" w:color="auto"/>
              <w:right w:val="single" w:sz="6" w:space="0" w:color="auto"/>
            </w:tcBorders>
            <w:hideMark/>
          </w:tcPr>
          <w:p w14:paraId="74567BBB" w14:textId="1AD092E3" w:rsidR="00CC1B05" w:rsidRPr="00107471" w:rsidRDefault="00CC1B05" w:rsidP="006F3885">
            <w:pPr>
              <w:overflowPunct w:val="0"/>
              <w:autoSpaceDE w:val="0"/>
              <w:autoSpaceDN w:val="0"/>
              <w:adjustRightInd w:val="0"/>
              <w:jc w:val="center"/>
              <w:rPr>
                <w:rFonts w:asciiTheme="minorHAnsi" w:hAnsiTheme="minorHAnsi"/>
                <w:color w:val="000000"/>
                <w:sz w:val="22"/>
                <w:szCs w:val="22"/>
              </w:rPr>
            </w:pPr>
            <w:r>
              <w:rPr>
                <w:rFonts w:asciiTheme="minorHAnsi" w:hAnsiTheme="minorHAnsi"/>
                <w:color w:val="000000"/>
                <w:sz w:val="22"/>
                <w:szCs w:val="22"/>
              </w:rPr>
              <w:t>0,</w:t>
            </w:r>
            <w:r w:rsidR="00B518CD">
              <w:rPr>
                <w:rFonts w:asciiTheme="minorHAnsi" w:hAnsiTheme="minorHAnsi"/>
                <w:color w:val="000000"/>
                <w:sz w:val="22"/>
                <w:szCs w:val="22"/>
              </w:rPr>
              <w:t>010</w:t>
            </w:r>
          </w:p>
        </w:tc>
      </w:tr>
      <w:tr w:rsidR="00CC1B05" w14:paraId="67C1D51F" w14:textId="77777777" w:rsidTr="00CC1B05">
        <w:trPr>
          <w:trHeight w:val="214"/>
        </w:trPr>
        <w:tc>
          <w:tcPr>
            <w:tcW w:w="1276" w:type="dxa"/>
            <w:tcBorders>
              <w:top w:val="single" w:sz="6" w:space="0" w:color="auto"/>
              <w:left w:val="single" w:sz="6" w:space="0" w:color="auto"/>
              <w:bottom w:val="single" w:sz="6" w:space="0" w:color="auto"/>
              <w:right w:val="single" w:sz="6" w:space="0" w:color="auto"/>
            </w:tcBorders>
          </w:tcPr>
          <w:p w14:paraId="0425C1D1" w14:textId="77777777" w:rsidR="00CC1B05" w:rsidRPr="00107471" w:rsidRDefault="00CC1B05" w:rsidP="00CC1B05">
            <w:pPr>
              <w:overflowPunct w:val="0"/>
              <w:autoSpaceDE w:val="0"/>
              <w:autoSpaceDN w:val="0"/>
              <w:adjustRightInd w:val="0"/>
              <w:rPr>
                <w:rFonts w:asciiTheme="minorHAnsi" w:hAnsiTheme="minorHAnsi"/>
                <w:color w:val="000000"/>
                <w:sz w:val="22"/>
                <w:szCs w:val="22"/>
              </w:rPr>
            </w:pPr>
            <w:r>
              <w:rPr>
                <w:rFonts w:asciiTheme="minorHAnsi" w:hAnsiTheme="minorHAnsi"/>
                <w:color w:val="000000"/>
                <w:sz w:val="22"/>
                <w:szCs w:val="22"/>
              </w:rPr>
              <w:t>17 04 11</w:t>
            </w:r>
          </w:p>
        </w:tc>
        <w:tc>
          <w:tcPr>
            <w:tcW w:w="4393" w:type="dxa"/>
            <w:tcBorders>
              <w:top w:val="single" w:sz="6" w:space="0" w:color="auto"/>
              <w:left w:val="single" w:sz="6" w:space="0" w:color="auto"/>
              <w:bottom w:val="single" w:sz="6" w:space="0" w:color="auto"/>
              <w:right w:val="single" w:sz="6" w:space="0" w:color="auto"/>
            </w:tcBorders>
          </w:tcPr>
          <w:p w14:paraId="3789143E" w14:textId="77777777" w:rsidR="00CC1B05" w:rsidRPr="00107471" w:rsidRDefault="00CC1B05" w:rsidP="00CC1B05">
            <w:pPr>
              <w:overflowPunct w:val="0"/>
              <w:autoSpaceDE w:val="0"/>
              <w:autoSpaceDN w:val="0"/>
              <w:adjustRightInd w:val="0"/>
              <w:rPr>
                <w:rFonts w:asciiTheme="minorHAnsi" w:hAnsiTheme="minorHAnsi"/>
                <w:color w:val="000000"/>
                <w:sz w:val="22"/>
                <w:szCs w:val="22"/>
              </w:rPr>
            </w:pPr>
            <w:r>
              <w:rPr>
                <w:rFonts w:asciiTheme="minorHAnsi" w:hAnsiTheme="minorHAnsi"/>
                <w:color w:val="000000"/>
                <w:sz w:val="22"/>
                <w:szCs w:val="22"/>
              </w:rPr>
              <w:t>Káble iné ako uvedené v 17 04 10</w:t>
            </w:r>
          </w:p>
        </w:tc>
        <w:tc>
          <w:tcPr>
            <w:tcW w:w="1135" w:type="dxa"/>
            <w:tcBorders>
              <w:top w:val="single" w:sz="6" w:space="0" w:color="auto"/>
              <w:left w:val="single" w:sz="6" w:space="0" w:color="auto"/>
              <w:bottom w:val="single" w:sz="6" w:space="0" w:color="auto"/>
              <w:right w:val="single" w:sz="6" w:space="0" w:color="auto"/>
            </w:tcBorders>
          </w:tcPr>
          <w:p w14:paraId="20DA5389" w14:textId="77777777" w:rsidR="00CC1B05" w:rsidRPr="00107471" w:rsidRDefault="00CC1B05" w:rsidP="00CC1B05">
            <w:pPr>
              <w:overflowPunct w:val="0"/>
              <w:autoSpaceDE w:val="0"/>
              <w:autoSpaceDN w:val="0"/>
              <w:adjustRightInd w:val="0"/>
              <w:jc w:val="center"/>
              <w:rPr>
                <w:rFonts w:asciiTheme="minorHAnsi" w:hAnsiTheme="minorHAnsi"/>
                <w:color w:val="000000"/>
                <w:sz w:val="22"/>
                <w:szCs w:val="22"/>
              </w:rPr>
            </w:pPr>
            <w:r>
              <w:rPr>
                <w:rFonts w:asciiTheme="minorHAnsi" w:hAnsiTheme="minorHAnsi"/>
                <w:color w:val="000000"/>
                <w:sz w:val="22"/>
                <w:szCs w:val="22"/>
              </w:rPr>
              <w:t>O</w:t>
            </w:r>
          </w:p>
        </w:tc>
        <w:tc>
          <w:tcPr>
            <w:tcW w:w="992" w:type="dxa"/>
            <w:tcBorders>
              <w:top w:val="single" w:sz="6" w:space="0" w:color="auto"/>
              <w:left w:val="single" w:sz="6" w:space="0" w:color="auto"/>
              <w:bottom w:val="single" w:sz="6" w:space="0" w:color="auto"/>
              <w:right w:val="single" w:sz="6" w:space="0" w:color="auto"/>
            </w:tcBorders>
          </w:tcPr>
          <w:p w14:paraId="72C36D68" w14:textId="77777777" w:rsidR="00CC1B05" w:rsidRPr="00107471" w:rsidRDefault="00CC1B05" w:rsidP="00CC1B05">
            <w:pPr>
              <w:overflowPunct w:val="0"/>
              <w:autoSpaceDE w:val="0"/>
              <w:autoSpaceDN w:val="0"/>
              <w:adjustRightInd w:val="0"/>
              <w:jc w:val="center"/>
              <w:rPr>
                <w:rFonts w:asciiTheme="minorHAnsi" w:hAnsiTheme="minorHAnsi"/>
                <w:color w:val="000000"/>
                <w:sz w:val="22"/>
                <w:szCs w:val="22"/>
              </w:rPr>
            </w:pPr>
            <w:r>
              <w:rPr>
                <w:rFonts w:asciiTheme="minorHAnsi" w:hAnsiTheme="minorHAnsi"/>
                <w:color w:val="000000"/>
                <w:sz w:val="22"/>
                <w:szCs w:val="22"/>
              </w:rPr>
              <w:t>t</w:t>
            </w:r>
          </w:p>
        </w:tc>
        <w:tc>
          <w:tcPr>
            <w:tcW w:w="1134" w:type="dxa"/>
            <w:tcBorders>
              <w:top w:val="single" w:sz="6" w:space="0" w:color="auto"/>
              <w:left w:val="single" w:sz="6" w:space="0" w:color="auto"/>
              <w:bottom w:val="single" w:sz="6" w:space="0" w:color="auto"/>
              <w:right w:val="single" w:sz="6" w:space="0" w:color="auto"/>
            </w:tcBorders>
          </w:tcPr>
          <w:p w14:paraId="4E49294A" w14:textId="62FA4801" w:rsidR="00CC1B05" w:rsidRDefault="00CC1B05" w:rsidP="006F3885">
            <w:pPr>
              <w:overflowPunct w:val="0"/>
              <w:autoSpaceDE w:val="0"/>
              <w:autoSpaceDN w:val="0"/>
              <w:adjustRightInd w:val="0"/>
              <w:jc w:val="center"/>
              <w:rPr>
                <w:rFonts w:asciiTheme="minorHAnsi" w:hAnsiTheme="minorHAnsi"/>
                <w:color w:val="000000"/>
                <w:sz w:val="22"/>
                <w:szCs w:val="22"/>
              </w:rPr>
            </w:pPr>
            <w:r>
              <w:rPr>
                <w:rFonts w:asciiTheme="minorHAnsi" w:hAnsiTheme="minorHAnsi"/>
                <w:color w:val="000000"/>
                <w:sz w:val="22"/>
                <w:szCs w:val="22"/>
              </w:rPr>
              <w:t>0,</w:t>
            </w:r>
            <w:r w:rsidR="00B518CD">
              <w:rPr>
                <w:rFonts w:asciiTheme="minorHAnsi" w:hAnsiTheme="minorHAnsi"/>
                <w:color w:val="000000"/>
                <w:sz w:val="22"/>
                <w:szCs w:val="22"/>
              </w:rPr>
              <w:t>005</w:t>
            </w:r>
          </w:p>
        </w:tc>
      </w:tr>
    </w:tbl>
    <w:p w14:paraId="796ED41E" w14:textId="77777777" w:rsidR="007B451A" w:rsidRPr="00395A04" w:rsidRDefault="007B451A" w:rsidP="007B451A">
      <w:pPr>
        <w:autoSpaceDE w:val="0"/>
        <w:autoSpaceDN w:val="0"/>
        <w:adjustRightInd w:val="0"/>
        <w:rPr>
          <w:rFonts w:ascii="Calibri" w:hAnsi="Calibri" w:cs="Arial"/>
          <w:sz w:val="22"/>
          <w:szCs w:val="22"/>
        </w:rPr>
      </w:pPr>
      <w:r w:rsidRPr="00E42363">
        <w:rPr>
          <w:rFonts w:asciiTheme="minorHAnsi" w:eastAsia="TimesNewRomanPSMT" w:hAnsiTheme="minorHAnsi" w:cstheme="minorHAnsi"/>
          <w:sz w:val="22"/>
          <w:szCs w:val="22"/>
          <w:lang w:eastAsia="sk-SK"/>
        </w:rPr>
        <w:t xml:space="preserve">Nazhromaždené odpady sa odvezú na </w:t>
      </w:r>
      <w:r>
        <w:rPr>
          <w:rFonts w:asciiTheme="minorHAnsi" w:eastAsia="TimesNewRomanPSMT" w:hAnsiTheme="minorHAnsi" w:cstheme="minorHAnsi"/>
          <w:sz w:val="22"/>
          <w:szCs w:val="22"/>
          <w:lang w:eastAsia="sk-SK"/>
        </w:rPr>
        <w:t xml:space="preserve">riadenú </w:t>
      </w:r>
      <w:r w:rsidRPr="00E42363">
        <w:rPr>
          <w:rFonts w:asciiTheme="minorHAnsi" w:eastAsia="TimesNewRomanPSMT" w:hAnsiTheme="minorHAnsi" w:cstheme="minorHAnsi"/>
          <w:sz w:val="22"/>
          <w:szCs w:val="22"/>
          <w:lang w:eastAsia="sk-SK"/>
        </w:rPr>
        <w:t>skládku  za účelom zhodnotenia resp. zneškodnenia do zariadenia nato určenom.</w:t>
      </w:r>
      <w:r>
        <w:rPr>
          <w:rFonts w:asciiTheme="minorHAnsi" w:eastAsia="TimesNewRomanPSMT" w:hAnsiTheme="minorHAnsi" w:cstheme="minorHAnsi"/>
          <w:sz w:val="22"/>
          <w:szCs w:val="22"/>
          <w:lang w:eastAsia="sk-SK"/>
        </w:rPr>
        <w:t xml:space="preserve"> </w:t>
      </w:r>
      <w:r w:rsidRPr="00E42363">
        <w:rPr>
          <w:rFonts w:asciiTheme="minorHAnsi" w:eastAsia="TimesNewRomanPSMT" w:hAnsiTheme="minorHAnsi" w:cstheme="minorHAnsi"/>
          <w:sz w:val="22"/>
          <w:szCs w:val="22"/>
          <w:lang w:eastAsia="sk-SK"/>
        </w:rPr>
        <w:t>Výkopová zemina bude podľa možnosti využitá pri stavbe zámeru, resp. na terénne úpravy,</w:t>
      </w:r>
      <w:r>
        <w:rPr>
          <w:rFonts w:asciiTheme="minorHAnsi" w:eastAsia="TimesNewRomanPSMT" w:hAnsiTheme="minorHAnsi" w:cstheme="minorHAnsi"/>
          <w:sz w:val="22"/>
          <w:szCs w:val="22"/>
          <w:lang w:eastAsia="sk-SK"/>
        </w:rPr>
        <w:t xml:space="preserve"> </w:t>
      </w:r>
      <w:r w:rsidRPr="00E42363">
        <w:rPr>
          <w:rFonts w:asciiTheme="minorHAnsi" w:eastAsia="TimesNewRomanPSMT" w:hAnsiTheme="minorHAnsi" w:cstheme="minorHAnsi"/>
          <w:sz w:val="22"/>
          <w:szCs w:val="22"/>
          <w:lang w:eastAsia="sk-SK"/>
        </w:rPr>
        <w:t>spätné zásypy.</w:t>
      </w:r>
      <w:r>
        <w:rPr>
          <w:rFonts w:asciiTheme="minorHAnsi" w:eastAsia="TimesNewRomanPSMT" w:hAnsiTheme="minorHAnsi" w:cstheme="minorHAnsi"/>
          <w:sz w:val="22"/>
          <w:szCs w:val="22"/>
          <w:lang w:eastAsia="sk-SK"/>
        </w:rPr>
        <w:t xml:space="preserve">  </w:t>
      </w:r>
      <w:r w:rsidRPr="00E42363">
        <w:rPr>
          <w:rFonts w:asciiTheme="minorHAnsi" w:eastAsia="TimesNewRomanPSMT" w:hAnsiTheme="minorHAnsi" w:cstheme="minorHAnsi"/>
          <w:sz w:val="22"/>
          <w:szCs w:val="22"/>
          <w:lang w:eastAsia="sk-SK"/>
        </w:rPr>
        <w:t>Konkrétny spôsob nakladania a množstvá produkovaných odpadov počas výstavby budú</w:t>
      </w:r>
      <w:r>
        <w:rPr>
          <w:rFonts w:asciiTheme="minorHAnsi" w:eastAsia="TimesNewRomanPSMT" w:hAnsiTheme="minorHAnsi" w:cstheme="minorHAnsi"/>
          <w:sz w:val="22"/>
          <w:szCs w:val="22"/>
          <w:lang w:eastAsia="sk-SK"/>
        </w:rPr>
        <w:t xml:space="preserve"> zd</w:t>
      </w:r>
      <w:r w:rsidRPr="00E42363">
        <w:rPr>
          <w:rFonts w:asciiTheme="minorHAnsi" w:eastAsia="TimesNewRomanPSMT" w:hAnsiTheme="minorHAnsi" w:cstheme="minorHAnsi"/>
          <w:sz w:val="22"/>
          <w:szCs w:val="22"/>
          <w:lang w:eastAsia="sk-SK"/>
        </w:rPr>
        <w:t>okumentované pri kolaudačnom konaní na základe vedenej evidencie pôvodcu</w:t>
      </w:r>
      <w:r>
        <w:rPr>
          <w:rFonts w:asciiTheme="minorHAnsi" w:eastAsia="TimesNewRomanPSMT" w:hAnsiTheme="minorHAnsi" w:cstheme="minorHAnsi"/>
          <w:sz w:val="22"/>
          <w:szCs w:val="22"/>
          <w:lang w:eastAsia="sk-SK"/>
        </w:rPr>
        <w:t>.</w:t>
      </w:r>
    </w:p>
    <w:p w14:paraId="543FC6AA" w14:textId="406E585C" w:rsidR="004A70BC" w:rsidRPr="00DA2047" w:rsidRDefault="00B453C0" w:rsidP="00DA2047">
      <w:pPr>
        <w:pStyle w:val="Pta"/>
        <w:tabs>
          <w:tab w:val="left" w:pos="708"/>
        </w:tabs>
        <w:contextualSpacing/>
        <w:rPr>
          <w:rFonts w:asciiTheme="minorHAnsi" w:hAnsiTheme="minorHAnsi" w:cs="Arial"/>
          <w:sz w:val="22"/>
          <w:szCs w:val="22"/>
        </w:rPr>
      </w:pPr>
      <w:r>
        <w:rPr>
          <w:rFonts w:asciiTheme="minorHAnsi" w:hAnsiTheme="minorHAnsi" w:cs="Arial"/>
          <w:sz w:val="22"/>
          <w:szCs w:val="22"/>
        </w:rPr>
        <w:t xml:space="preserve"> </w:t>
      </w:r>
      <w:r w:rsidR="003D3A96">
        <w:rPr>
          <w:rFonts w:asciiTheme="minorHAnsi" w:hAnsiTheme="minorHAnsi" w:cs="Arial"/>
          <w:sz w:val="22"/>
          <w:szCs w:val="22"/>
        </w:rPr>
        <w:t xml:space="preserve">       </w:t>
      </w:r>
      <w:r w:rsidR="00DF0E72">
        <w:rPr>
          <w:rFonts w:asciiTheme="minorHAnsi" w:hAnsiTheme="minorHAnsi" w:cs="Arial"/>
          <w:sz w:val="22"/>
          <w:szCs w:val="22"/>
        </w:rPr>
        <w:t xml:space="preserve">     </w:t>
      </w:r>
      <w:r w:rsidR="00C32116">
        <w:rPr>
          <w:rFonts w:asciiTheme="minorHAnsi" w:hAnsiTheme="minorHAnsi" w:cs="Arial"/>
          <w:sz w:val="22"/>
          <w:szCs w:val="22"/>
        </w:rPr>
        <w:t xml:space="preserve"> </w:t>
      </w:r>
    </w:p>
    <w:p w14:paraId="2DB557A1" w14:textId="77777777" w:rsidR="00DA2047" w:rsidRPr="00CD441D" w:rsidRDefault="005D277D" w:rsidP="005614F0">
      <w:pPr>
        <w:contextualSpacing/>
        <w:jc w:val="both"/>
        <w:rPr>
          <w:rFonts w:ascii="Calibri" w:hAnsi="Calibri" w:cs="Arial"/>
          <w:b/>
          <w:sz w:val="28"/>
          <w:szCs w:val="28"/>
          <w:u w:val="single"/>
        </w:rPr>
      </w:pPr>
      <w:r>
        <w:rPr>
          <w:rFonts w:ascii="Calibri" w:hAnsi="Calibri" w:cs="Arial"/>
          <w:b/>
          <w:sz w:val="28"/>
          <w:szCs w:val="28"/>
          <w:u w:val="single"/>
        </w:rPr>
        <w:t>5</w:t>
      </w:r>
      <w:r w:rsidR="00994790">
        <w:rPr>
          <w:rFonts w:ascii="Calibri" w:hAnsi="Calibri" w:cs="Arial"/>
          <w:b/>
          <w:sz w:val="28"/>
          <w:szCs w:val="28"/>
          <w:u w:val="single"/>
        </w:rPr>
        <w:t>.</w:t>
      </w:r>
      <w:r w:rsidR="00DA2047">
        <w:rPr>
          <w:rFonts w:ascii="Calibri" w:hAnsi="Calibri" w:cs="Arial"/>
          <w:b/>
          <w:sz w:val="28"/>
          <w:szCs w:val="28"/>
          <w:u w:val="single"/>
        </w:rPr>
        <w:t> ZÁVEREČNÉ USTANOVENIA</w:t>
      </w:r>
      <w:r w:rsidR="002217E3" w:rsidRPr="00CD441D">
        <w:rPr>
          <w:rFonts w:ascii="Calibri" w:hAnsi="Calibri" w:cs="Arial"/>
          <w:b/>
          <w:sz w:val="28"/>
          <w:szCs w:val="28"/>
          <w:u w:val="single"/>
        </w:rPr>
        <w:t>:</w:t>
      </w:r>
    </w:p>
    <w:p w14:paraId="5F33A2BC" w14:textId="77777777" w:rsidR="001173A4" w:rsidRDefault="001173A4" w:rsidP="001173A4">
      <w:pPr>
        <w:pStyle w:val="Pokraovaniezoznamu4"/>
        <w:spacing w:after="0"/>
        <w:ind w:left="0"/>
        <w:contextualSpacing/>
        <w:rPr>
          <w:rFonts w:ascii="Calibri" w:hAnsi="Calibri" w:cs="Arial"/>
          <w:sz w:val="22"/>
          <w:szCs w:val="22"/>
        </w:rPr>
      </w:pPr>
      <w:r>
        <w:rPr>
          <w:rFonts w:ascii="Calibri" w:hAnsi="Calibri" w:cs="Arial"/>
          <w:sz w:val="22"/>
          <w:szCs w:val="22"/>
        </w:rPr>
        <w:t xml:space="preserve">   </w:t>
      </w:r>
      <w:r w:rsidRPr="00DA2047">
        <w:rPr>
          <w:rFonts w:ascii="Calibri" w:hAnsi="Calibri" w:cs="Arial"/>
          <w:sz w:val="22"/>
          <w:szCs w:val="22"/>
        </w:rPr>
        <w:t>Pri montážnych prácach je potrebné dodržiavať bezpečnostné predpisy a nariadenia o ochrane zdravia a bezpečnosti pracujúcich osôb v zmysle platných predpisov. Montáž a údržbu elektrických zariadení môže vykonávať len oprávnený subjekt, ktorý vlastní oprávneni</w:t>
      </w:r>
      <w:r>
        <w:rPr>
          <w:rFonts w:ascii="Calibri" w:hAnsi="Calibri" w:cs="Arial"/>
          <w:sz w:val="22"/>
          <w:szCs w:val="22"/>
        </w:rPr>
        <w:t xml:space="preserve">e </w:t>
      </w:r>
      <w:r w:rsidRPr="00DA2047">
        <w:rPr>
          <w:rFonts w:ascii="Calibri" w:hAnsi="Calibri" w:cs="Arial"/>
          <w:sz w:val="22"/>
          <w:szCs w:val="22"/>
        </w:rPr>
        <w:t xml:space="preserve"> v zmysle Vyhlášky MPSVaR SR č.508/2009 Z.z. V zmysle zákona NR SR č.124/2006 Z.z., vyhlášky MPSVaR SR č.508/2009 a STN 33 1500 je povinnosťou </w:t>
      </w:r>
    </w:p>
    <w:p w14:paraId="5AF6FFAE" w14:textId="77777777" w:rsidR="001173A4" w:rsidRPr="00DA2047" w:rsidRDefault="001173A4" w:rsidP="001173A4">
      <w:pPr>
        <w:pStyle w:val="Pokraovaniezoznamu4"/>
        <w:spacing w:after="0"/>
        <w:ind w:left="0"/>
        <w:contextualSpacing/>
        <w:rPr>
          <w:rFonts w:ascii="Calibri" w:hAnsi="Calibri" w:cs="Arial"/>
          <w:sz w:val="22"/>
          <w:szCs w:val="22"/>
        </w:rPr>
      </w:pPr>
      <w:r w:rsidRPr="00DA2047">
        <w:rPr>
          <w:rFonts w:ascii="Calibri" w:hAnsi="Calibri" w:cs="Arial"/>
          <w:sz w:val="22"/>
          <w:szCs w:val="22"/>
        </w:rPr>
        <w:t>vykonávať na elektrických zariadeniach pravidelné kontroly za účelom zaistenia bezpečnosti a ochrany zdravia pri práci.</w:t>
      </w:r>
    </w:p>
    <w:p w14:paraId="50BB99F1" w14:textId="77777777" w:rsidR="001173A4" w:rsidRPr="00DA2047" w:rsidRDefault="001173A4" w:rsidP="001173A4">
      <w:pPr>
        <w:pStyle w:val="Pokraovaniezoznamu4"/>
        <w:spacing w:after="0"/>
        <w:ind w:left="0"/>
        <w:contextualSpacing/>
        <w:rPr>
          <w:rFonts w:ascii="Calibri" w:hAnsi="Calibri" w:cs="Arial"/>
          <w:sz w:val="22"/>
          <w:szCs w:val="22"/>
        </w:rPr>
      </w:pPr>
      <w:r w:rsidRPr="00DA2047">
        <w:rPr>
          <w:rFonts w:ascii="Calibri" w:hAnsi="Calibri" w:cs="Arial"/>
          <w:sz w:val="22"/>
          <w:szCs w:val="22"/>
        </w:rPr>
        <w:t xml:space="preserve"> Po montáži pred uvedením elektrického zariadenia do prevádzky musí byť vykonaná prvá odborná prehliadka a odborná skúška (východisková revízia). Výstupom východiskovej revízie je písomný doklad – správa o prvej odbornej prehliadke a odbornej skúške. Elektrické zariadenie sa smie uviesť do prevádzky iba v prípade kladnej východiskovej revízie.</w:t>
      </w:r>
    </w:p>
    <w:p w14:paraId="480D8353" w14:textId="77777777" w:rsidR="001173A4" w:rsidRDefault="001173A4" w:rsidP="001173A4">
      <w:pPr>
        <w:pStyle w:val="Pokraovaniezoznamu4"/>
        <w:spacing w:after="0"/>
        <w:ind w:left="0"/>
        <w:contextualSpacing/>
        <w:rPr>
          <w:rFonts w:ascii="Calibri" w:hAnsi="Calibri" w:cs="Arial"/>
          <w:sz w:val="22"/>
          <w:szCs w:val="22"/>
        </w:rPr>
      </w:pPr>
      <w:r w:rsidRPr="00DA2047">
        <w:rPr>
          <w:rFonts w:ascii="Calibri" w:hAnsi="Calibri" w:cs="Arial"/>
          <w:sz w:val="22"/>
          <w:szCs w:val="22"/>
        </w:rPr>
        <w:lastRenderedPageBreak/>
        <w:t>Na prevádzkovaných elektrických zariadeniach sa musí pravidelne vykonávať pravidelná odborná prehliadka a odborná skúška (periodická revízia) a to v predpísaných lehotách počas celej životnosti elektrického zaria</w:t>
      </w:r>
      <w:r>
        <w:rPr>
          <w:rFonts w:ascii="Calibri" w:hAnsi="Calibri" w:cs="Arial"/>
          <w:sz w:val="22"/>
          <w:szCs w:val="22"/>
        </w:rPr>
        <w:t xml:space="preserve">denia. Po vykonaní </w:t>
      </w:r>
      <w:r w:rsidRPr="00DA2047">
        <w:rPr>
          <w:rFonts w:ascii="Calibri" w:hAnsi="Calibri" w:cs="Arial"/>
          <w:sz w:val="22"/>
          <w:szCs w:val="22"/>
        </w:rPr>
        <w:t xml:space="preserve"> revízie vypracuje elektrotechnik špecialist</w:t>
      </w:r>
      <w:r>
        <w:rPr>
          <w:rFonts w:ascii="Calibri" w:hAnsi="Calibri" w:cs="Arial"/>
          <w:sz w:val="22"/>
          <w:szCs w:val="22"/>
        </w:rPr>
        <w:t>a správu o</w:t>
      </w:r>
      <w:r w:rsidRPr="00DA2047">
        <w:rPr>
          <w:rFonts w:ascii="Calibri" w:hAnsi="Calibri" w:cs="Arial"/>
          <w:sz w:val="22"/>
          <w:szCs w:val="22"/>
        </w:rPr>
        <w:t xml:space="preserve"> odbornej prehliadke a odbornej skúške. Lehoty vykonávania periodických revizií sa musia dodržať podľa vyhlášky MPSVaR SR č.508/2009 Z.z. a STN 33 1500 tieto musí zabezpečiť prevádzkovateľ zariadenia. </w:t>
      </w:r>
    </w:p>
    <w:p w14:paraId="4973D9A6" w14:textId="77777777" w:rsidR="001173A4" w:rsidRPr="00366002" w:rsidRDefault="001173A4" w:rsidP="001173A4">
      <w:pPr>
        <w:pStyle w:val="Pokraovaniezoznamu4"/>
        <w:spacing w:after="0"/>
        <w:ind w:left="0"/>
        <w:contextualSpacing/>
        <w:jc w:val="both"/>
        <w:rPr>
          <w:rFonts w:ascii="Calibri" w:hAnsi="Calibri" w:cs="Arial"/>
          <w:sz w:val="22"/>
          <w:szCs w:val="22"/>
        </w:rPr>
      </w:pPr>
      <w:r w:rsidRPr="00366002">
        <w:rPr>
          <w:rFonts w:ascii="Calibri" w:hAnsi="Calibri" w:cs="Arial"/>
          <w:sz w:val="22"/>
          <w:szCs w:val="22"/>
        </w:rPr>
        <w:t>Pracovníci dodávateľa musia byť oboznámení s bez</w:t>
      </w:r>
      <w:r>
        <w:rPr>
          <w:rFonts w:ascii="Calibri" w:hAnsi="Calibri" w:cs="Arial"/>
          <w:sz w:val="22"/>
          <w:szCs w:val="22"/>
        </w:rPr>
        <w:t>pečnostnými  predpismi</w:t>
      </w:r>
      <w:r w:rsidRPr="00366002">
        <w:rPr>
          <w:rFonts w:ascii="Calibri" w:hAnsi="Calibri" w:cs="Arial"/>
          <w:sz w:val="22"/>
          <w:szCs w:val="22"/>
        </w:rPr>
        <w:t xml:space="preserve"> na stavbe.</w:t>
      </w:r>
    </w:p>
    <w:p w14:paraId="7C718E9E" w14:textId="77777777" w:rsidR="001173A4" w:rsidRPr="00366002" w:rsidRDefault="001173A4" w:rsidP="001173A4">
      <w:pPr>
        <w:pStyle w:val="Pokraovaniezoznamu4"/>
        <w:spacing w:after="0"/>
        <w:ind w:left="0"/>
        <w:contextualSpacing/>
        <w:jc w:val="both"/>
        <w:rPr>
          <w:rFonts w:ascii="Calibri" w:hAnsi="Calibri" w:cs="Arial"/>
          <w:sz w:val="22"/>
          <w:szCs w:val="22"/>
        </w:rPr>
      </w:pPr>
      <w:r w:rsidRPr="00366002">
        <w:rPr>
          <w:rFonts w:ascii="Calibri" w:hAnsi="Calibri" w:cs="Arial"/>
          <w:sz w:val="22"/>
          <w:szCs w:val="22"/>
        </w:rPr>
        <w:t xml:space="preserve">Montážne práce je potrebné prevádzať tak, aby počas realizácie stavby nebolo zhoršené životné prostredie. </w:t>
      </w:r>
    </w:p>
    <w:p w14:paraId="2B793105" w14:textId="77777777" w:rsidR="001173A4" w:rsidRPr="00366002" w:rsidRDefault="001173A4" w:rsidP="001173A4">
      <w:pPr>
        <w:pStyle w:val="Pokraovaniezoznamu4"/>
        <w:spacing w:after="0"/>
        <w:ind w:left="0"/>
        <w:contextualSpacing/>
        <w:jc w:val="both"/>
        <w:rPr>
          <w:rFonts w:ascii="Calibri" w:hAnsi="Calibri" w:cs="Arial"/>
          <w:sz w:val="22"/>
          <w:szCs w:val="22"/>
        </w:rPr>
      </w:pPr>
      <w:r w:rsidRPr="00366002">
        <w:rPr>
          <w:rFonts w:ascii="Calibri" w:hAnsi="Calibri" w:cs="Arial"/>
          <w:sz w:val="22"/>
          <w:szCs w:val="22"/>
        </w:rPr>
        <w:t>Všetky odpady, ktoré ostanú po stavbe uskladňovať len na miesta</w:t>
      </w:r>
      <w:r>
        <w:rPr>
          <w:rFonts w:ascii="Calibri" w:hAnsi="Calibri" w:cs="Arial"/>
          <w:sz w:val="22"/>
          <w:szCs w:val="22"/>
        </w:rPr>
        <w:t xml:space="preserve">ch na to určených. </w:t>
      </w:r>
    </w:p>
    <w:p w14:paraId="635A5CC3" w14:textId="77777777" w:rsidR="001173A4" w:rsidRPr="00366002" w:rsidRDefault="001173A4" w:rsidP="001173A4">
      <w:pPr>
        <w:pStyle w:val="Zarkazkladnhotextu"/>
        <w:spacing w:after="0"/>
        <w:ind w:left="0"/>
        <w:contextualSpacing/>
        <w:rPr>
          <w:rFonts w:ascii="Calibri" w:hAnsi="Calibri" w:cs="Arial"/>
          <w:sz w:val="22"/>
          <w:szCs w:val="22"/>
        </w:rPr>
      </w:pPr>
      <w:r w:rsidRPr="00366002">
        <w:rPr>
          <w:rFonts w:ascii="Calibri" w:hAnsi="Calibri" w:cs="Arial"/>
          <w:sz w:val="22"/>
          <w:szCs w:val="22"/>
        </w:rPr>
        <w:t>Nároky na údržbu počas prevádzky sú minimálne, obmedzujúce sa na prípadné opravy.</w:t>
      </w:r>
    </w:p>
    <w:p w14:paraId="1CA59DC7" w14:textId="77777777" w:rsidR="001173A4" w:rsidRPr="00366002" w:rsidRDefault="001173A4" w:rsidP="001173A4">
      <w:pPr>
        <w:pStyle w:val="Zarkazkladnhotextu"/>
        <w:spacing w:after="0"/>
        <w:ind w:left="0"/>
        <w:contextualSpacing/>
        <w:rPr>
          <w:rFonts w:ascii="Calibri" w:hAnsi="Calibri" w:cs="Arial"/>
          <w:sz w:val="22"/>
          <w:szCs w:val="22"/>
        </w:rPr>
      </w:pPr>
      <w:r w:rsidRPr="00366002">
        <w:rPr>
          <w:rFonts w:ascii="Calibri" w:hAnsi="Calibri" w:cs="Arial"/>
          <w:sz w:val="22"/>
          <w:szCs w:val="22"/>
        </w:rPr>
        <w:t>Realizácia predmetnej časti stavby v projektovanom rozsahu, a ani jej následná prevádzka nebude mať nepriaznivý vplyv na životné prostredie dotknutej lokality.</w:t>
      </w:r>
      <w:r>
        <w:rPr>
          <w:rFonts w:ascii="Calibri" w:hAnsi="Calibri" w:cs="Arial"/>
          <w:sz w:val="22"/>
          <w:szCs w:val="22"/>
        </w:rPr>
        <w:t xml:space="preserve"> </w:t>
      </w:r>
    </w:p>
    <w:p w14:paraId="5CB62733" w14:textId="708D3B5E" w:rsidR="006F7EC2" w:rsidRPr="006F7EC2" w:rsidRDefault="006F7EC2" w:rsidP="00760A1C">
      <w:pPr>
        <w:outlineLvl w:val="0"/>
        <w:rPr>
          <w:rFonts w:asciiTheme="minorHAnsi" w:hAnsiTheme="minorHAnsi"/>
          <w:sz w:val="22"/>
          <w:szCs w:val="22"/>
        </w:rPr>
      </w:pPr>
      <w:r w:rsidRPr="006F7EC2">
        <w:rPr>
          <w:rFonts w:asciiTheme="minorHAnsi" w:hAnsiTheme="minorHAnsi"/>
          <w:sz w:val="22"/>
          <w:szCs w:val="22"/>
        </w:rPr>
        <w:t xml:space="preserve"> </w:t>
      </w:r>
    </w:p>
    <w:p w14:paraId="530AC218" w14:textId="77777777" w:rsidR="006D3514" w:rsidRDefault="006D3514" w:rsidP="006F7EC2">
      <w:pPr>
        <w:pStyle w:val="Pokraovaniezoznamu4"/>
        <w:spacing w:after="0"/>
        <w:ind w:left="0"/>
        <w:contextualSpacing/>
        <w:rPr>
          <w:rFonts w:ascii="Calibri" w:hAnsi="Calibri" w:cs="Arial"/>
          <w:sz w:val="22"/>
          <w:szCs w:val="22"/>
        </w:rPr>
      </w:pPr>
    </w:p>
    <w:p w14:paraId="5EC4E224" w14:textId="77777777" w:rsidR="00D75820" w:rsidRPr="00D75820" w:rsidRDefault="00D75820" w:rsidP="00DA2047">
      <w:pPr>
        <w:pStyle w:val="Pokraovaniezoznamu4"/>
        <w:spacing w:after="0"/>
        <w:ind w:left="0"/>
        <w:contextualSpacing/>
        <w:rPr>
          <w:rFonts w:asciiTheme="minorHAnsi" w:hAnsiTheme="minorHAnsi" w:cs="Arial"/>
          <w:sz w:val="22"/>
          <w:szCs w:val="22"/>
        </w:rPr>
      </w:pPr>
    </w:p>
    <w:p w14:paraId="42246D99" w14:textId="77777777" w:rsidR="00D75820" w:rsidRDefault="00D75820" w:rsidP="00DA2047">
      <w:pPr>
        <w:pStyle w:val="Pokraovaniezoznamu4"/>
        <w:spacing w:after="0"/>
        <w:ind w:left="0"/>
        <w:contextualSpacing/>
        <w:rPr>
          <w:rFonts w:ascii="Calibri" w:hAnsi="Calibri" w:cs="Arial"/>
          <w:sz w:val="22"/>
          <w:szCs w:val="22"/>
        </w:rPr>
      </w:pPr>
    </w:p>
    <w:p w14:paraId="0A8D5D5A" w14:textId="77777777" w:rsidR="00B453C0" w:rsidRPr="00366002" w:rsidRDefault="00B453C0" w:rsidP="005614F0">
      <w:pPr>
        <w:pStyle w:val="Zarkazkladnhotextu"/>
        <w:spacing w:after="0"/>
        <w:ind w:left="0" w:firstLine="284"/>
        <w:contextualSpacing/>
        <w:rPr>
          <w:rFonts w:ascii="Calibri" w:hAnsi="Calibri" w:cs="Arial"/>
          <w:sz w:val="22"/>
          <w:szCs w:val="22"/>
        </w:rPr>
      </w:pPr>
    </w:p>
    <w:p w14:paraId="6C430635" w14:textId="58D33C8A" w:rsidR="002217E3" w:rsidRDefault="00DA2047" w:rsidP="005614F0">
      <w:pPr>
        <w:contextualSpacing/>
        <w:jc w:val="both"/>
        <w:rPr>
          <w:rFonts w:ascii="Calibri" w:hAnsi="Calibri" w:cs="Arial"/>
          <w:sz w:val="22"/>
          <w:szCs w:val="22"/>
        </w:rPr>
      </w:pPr>
      <w:r>
        <w:rPr>
          <w:rFonts w:ascii="Calibri" w:hAnsi="Calibri" w:cs="Arial"/>
          <w:sz w:val="22"/>
          <w:szCs w:val="22"/>
        </w:rPr>
        <w:t xml:space="preserve">Košice </w:t>
      </w:r>
      <w:r w:rsidR="008E324C">
        <w:rPr>
          <w:rFonts w:ascii="Calibri" w:hAnsi="Calibri" w:cs="Arial"/>
          <w:sz w:val="22"/>
          <w:szCs w:val="22"/>
        </w:rPr>
        <w:t>12</w:t>
      </w:r>
      <w:r w:rsidR="003D4A69" w:rsidRPr="00366002">
        <w:rPr>
          <w:rFonts w:ascii="Calibri" w:hAnsi="Calibri" w:cs="Arial"/>
          <w:sz w:val="22"/>
          <w:szCs w:val="22"/>
        </w:rPr>
        <w:t xml:space="preserve"> /</w:t>
      </w:r>
      <w:r w:rsidR="002217E3" w:rsidRPr="00366002">
        <w:rPr>
          <w:rFonts w:ascii="Calibri" w:hAnsi="Calibri" w:cs="Arial"/>
          <w:sz w:val="22"/>
          <w:szCs w:val="22"/>
        </w:rPr>
        <w:t xml:space="preserve"> 20</w:t>
      </w:r>
      <w:r w:rsidR="00811467">
        <w:rPr>
          <w:rFonts w:ascii="Calibri" w:hAnsi="Calibri" w:cs="Arial"/>
          <w:sz w:val="22"/>
          <w:szCs w:val="22"/>
        </w:rPr>
        <w:t>2</w:t>
      </w:r>
      <w:r w:rsidR="008E324C">
        <w:rPr>
          <w:rFonts w:ascii="Calibri" w:hAnsi="Calibri" w:cs="Arial"/>
          <w:sz w:val="22"/>
          <w:szCs w:val="22"/>
        </w:rPr>
        <w:t>3</w:t>
      </w:r>
      <w:r w:rsidR="002217E3" w:rsidRPr="00366002">
        <w:rPr>
          <w:rFonts w:ascii="Calibri" w:hAnsi="Calibri" w:cs="Arial"/>
          <w:sz w:val="22"/>
          <w:szCs w:val="22"/>
        </w:rPr>
        <w:t xml:space="preserve">                                                         </w:t>
      </w:r>
      <w:r w:rsidR="00996165">
        <w:rPr>
          <w:rFonts w:ascii="Calibri" w:hAnsi="Calibri" w:cs="Arial"/>
          <w:sz w:val="22"/>
          <w:szCs w:val="22"/>
        </w:rPr>
        <w:t xml:space="preserve">                                     </w:t>
      </w:r>
      <w:r w:rsidR="002217E3" w:rsidRPr="00366002">
        <w:rPr>
          <w:rFonts w:ascii="Calibri" w:hAnsi="Calibri" w:cs="Arial"/>
          <w:sz w:val="22"/>
          <w:szCs w:val="22"/>
        </w:rPr>
        <w:t xml:space="preserve">Vypracoval: Ing. </w:t>
      </w:r>
      <w:r w:rsidR="005614F0">
        <w:rPr>
          <w:rFonts w:ascii="Calibri" w:hAnsi="Calibri" w:cs="Arial"/>
          <w:sz w:val="22"/>
          <w:szCs w:val="22"/>
        </w:rPr>
        <w:t>Peter Cehlár</w:t>
      </w:r>
      <w:r w:rsidR="00E72FA8">
        <w:rPr>
          <w:rFonts w:ascii="Calibri" w:hAnsi="Calibri" w:cs="Arial"/>
          <w:sz w:val="22"/>
          <w:szCs w:val="22"/>
        </w:rPr>
        <w:t xml:space="preserve"> a kolektív</w:t>
      </w:r>
    </w:p>
    <w:p w14:paraId="62520827" w14:textId="77777777" w:rsidR="00DA2047" w:rsidRDefault="00DA2047" w:rsidP="005614F0">
      <w:pPr>
        <w:contextualSpacing/>
        <w:jc w:val="both"/>
        <w:rPr>
          <w:rFonts w:ascii="Calibri" w:hAnsi="Calibri" w:cs="Arial"/>
          <w:sz w:val="22"/>
          <w:szCs w:val="22"/>
        </w:rPr>
      </w:pPr>
    </w:p>
    <w:p w14:paraId="000FA566" w14:textId="77777777" w:rsidR="001622D7" w:rsidRDefault="001622D7" w:rsidP="005614F0">
      <w:pPr>
        <w:contextualSpacing/>
        <w:jc w:val="both"/>
        <w:rPr>
          <w:rFonts w:ascii="Calibri" w:hAnsi="Calibri" w:cs="Arial"/>
          <w:bCs/>
          <w:sz w:val="28"/>
          <w:szCs w:val="28"/>
        </w:rPr>
      </w:pPr>
    </w:p>
    <w:p w14:paraId="7348FCBD" w14:textId="28CCF30D" w:rsidR="003671C1" w:rsidRDefault="003671C1" w:rsidP="005614F0">
      <w:pPr>
        <w:contextualSpacing/>
        <w:jc w:val="both"/>
        <w:rPr>
          <w:rFonts w:ascii="Calibri" w:hAnsi="Calibri" w:cs="Arial"/>
          <w:bCs/>
          <w:sz w:val="28"/>
          <w:szCs w:val="28"/>
        </w:rPr>
      </w:pPr>
    </w:p>
    <w:p w14:paraId="5994F8A9" w14:textId="43145B6A" w:rsidR="00CA65C8" w:rsidRDefault="00CA65C8" w:rsidP="005614F0">
      <w:pPr>
        <w:contextualSpacing/>
        <w:jc w:val="both"/>
        <w:rPr>
          <w:rFonts w:ascii="Calibri" w:hAnsi="Calibri" w:cs="Arial"/>
          <w:bCs/>
          <w:sz w:val="28"/>
          <w:szCs w:val="28"/>
        </w:rPr>
      </w:pPr>
    </w:p>
    <w:sectPr w:rsidR="00CA65C8" w:rsidSect="005B1F41">
      <w:headerReference w:type="default" r:id="rId8"/>
      <w:footerReference w:type="default" r:id="rId9"/>
      <w:pgSz w:w="11907" w:h="16840" w:code="9"/>
      <w:pgMar w:top="567" w:right="851" w:bottom="1276" w:left="1134" w:header="340" w:footer="851"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41F06" w14:textId="77777777" w:rsidR="0025603C" w:rsidRDefault="0025603C">
      <w:r>
        <w:separator/>
      </w:r>
    </w:p>
  </w:endnote>
  <w:endnote w:type="continuationSeparator" w:id="0">
    <w:p w14:paraId="22C094D5" w14:textId="77777777" w:rsidR="0025603C" w:rsidRDefault="00256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1899A" w14:textId="77777777" w:rsidR="0025603C" w:rsidRDefault="0025603C">
    <w:pPr>
      <w:pStyle w:val="Pta"/>
      <w:framePr w:wrap="auto" w:vAnchor="text" w:hAnchor="page" w:x="10342" w:y="-45"/>
      <w:rPr>
        <w:rStyle w:val="slostrany"/>
        <w:b/>
      </w:rPr>
    </w:pPr>
    <w:r>
      <w:rPr>
        <w:rStyle w:val="slostrany"/>
        <w:b/>
      </w:rPr>
      <w:t xml:space="preserve">    </w:t>
    </w:r>
  </w:p>
  <w:p w14:paraId="38688B4C" w14:textId="4E3D252B" w:rsidR="0025603C" w:rsidRDefault="00934DB7">
    <w:pPr>
      <w:pStyle w:val="Pta"/>
      <w:rPr>
        <w:rFonts w:ascii="Arial" w:hAnsi="Arial" w:cs="Arial"/>
        <w:b/>
        <w:bCs/>
      </w:rPr>
    </w:pPr>
    <w:r>
      <w:rPr>
        <w:noProof/>
      </w:rPr>
      <w:pict w14:anchorId="3977A6AB">
        <v:line id="Line 1" o:spid="_x0000_s44033"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pt,-8pt" to="497.6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wssFAIAACoEAAAOAAAAZHJzL2Uyb0RvYy54bWysU8GO2jAQvVfqP1i+QxIIFCLCqkqgl22L&#10;tNsPMLZDrDq2ZRsCqvrvHZtAS3upqubgjD0zz2/mjVdP506iE7dOaFXibJxixBXVTKhDib+8bkcL&#10;jJwnihGpFS/xhTv8tH77ZtWbgk90qyXjFgGIckVvStx6b4okcbTlHXFjbbgCZ6NtRzxs7SFhlvSA&#10;3slkkqbzpNeWGaspdw5O66sTryN+03DqPzeN4x7JEgM3H1cb131Yk/WKFAdLTCvoQIP8A4uOCAWX&#10;3qFq4gk6WvEHVCeo1U43fkx1l+imEZTHGqCaLP2tmpeWGB5rgeY4c2+T+3+w9NNpZ5FgoB1GinQg&#10;0bNQHGWhM71xBQRUamdDbfSsXsyzpl8dUrpqiTrwyPD1YiAtZiQPKWHjDODv+4+aQQw5eh3bdG5s&#10;FyChAegc1bjc1eBnjygczqfpcrmcYUTBN5/OAqOEFLdUY53/wHWHglFiCawjNDk9O38NvYWEm5Te&#10;Cimj3FKhvsTT7N0sJjgtBQvOEObsYV9Ji04kDEz8hnsfwqw+KhbBWk7YZrA9EfJqA0+pAh4UA3QG&#10;6zoR35bpcrPYLPJRPplvRnla16P32yofzbdAqZ7WVVVn3wO1LC9awRhXgd1tOrP879Qf3sl1ru7z&#10;eW9D8ogeWwtkb/9IOqoZBLyOwl6zy86G1gZhYSBj8PB4wsT/uo9RP5/4+gcAAAD//wMAUEsDBBQA&#10;BgAIAAAAIQAfEVnh3wAAAAkBAAAPAAAAZHJzL2Rvd25yZXYueG1sTI/BTsMwEETvSPyDtUjcWqeg&#10;RiTEqUgEhx5AaotEe3PjJYmI1yF22vD3bE9wnJ3R7JtsNdlOnHDwrSMFi3kEAqlypqVawfvuZfYA&#10;wgdNRneOUMEPeljl11eZTo070wZP21ALLiGfagVNCH0qpa8atNrPXY/E3qcbrA4sh1qaQZ+53Hby&#10;LopiaXVL/KHRPZYNVl/b0SoI/mP/Fsb1dxEXryXuikP5LNdK3d5MT48gAk7hLwwXfEaHnJmObiTj&#10;Rcc65qCC2SLmSewnyfIexPFyWSYg80z+X5D/AgAA//8DAFBLAQItABQABgAIAAAAIQC2gziS/gAA&#10;AOEBAAATAAAAAAAAAAAAAAAAAAAAAABbQ29udGVudF9UeXBlc10ueG1sUEsBAi0AFAAGAAgAAAAh&#10;ADj9If/WAAAAlAEAAAsAAAAAAAAAAAAAAAAALwEAAF9yZWxzLy5yZWxzUEsBAi0AFAAGAAgAAAAh&#10;AFBPCywUAgAAKgQAAA4AAAAAAAAAAAAAAAAALgIAAGRycy9lMm9Eb2MueG1sUEsBAi0AFAAGAAgA&#10;AAAhAB8RWeHfAAAACQEAAA8AAAAAAAAAAAAAAAAAbgQAAGRycy9kb3ducmV2LnhtbFBLBQYAAAAA&#10;BAAEAPMAAAB6BQAAAAA=&#10;" o:allowincell="f" strokeweight=".25pt"/>
      </w:pict>
    </w:r>
    <w:r w:rsidR="00C71BF3">
      <w:rPr>
        <w:noProof/>
      </w:rPr>
      <w:t>SO – 14</w:t>
    </w:r>
    <w:r w:rsidR="008E324C">
      <w:rPr>
        <w:noProof/>
      </w:rPr>
      <w:t>a</w:t>
    </w:r>
    <w:r w:rsidR="00C71BF3">
      <w:rPr>
        <w:noProof/>
      </w:rPr>
      <w:t xml:space="preserve"> Vyšné Nemecké</w:t>
    </w:r>
    <w:r w:rsidR="0025603C">
      <w:rPr>
        <w:rFonts w:ascii="Arial" w:hAnsi="Arial" w:cs="Arial"/>
        <w:bCs/>
        <w:noProof/>
        <w:sz w:val="20"/>
      </w:rPr>
      <w:t xml:space="preserve"> </w:t>
    </w:r>
    <w:r w:rsidR="0025603C" w:rsidRPr="00D06851">
      <w:rPr>
        <w:rFonts w:ascii="Arial" w:hAnsi="Arial" w:cs="Arial"/>
        <w:bCs/>
        <w:noProof/>
        <w:sz w:val="20"/>
      </w:rPr>
      <w:tab/>
    </w:r>
    <w:r w:rsidR="0025603C" w:rsidRPr="00D06851">
      <w:rPr>
        <w:rFonts w:ascii="Arial" w:hAnsi="Arial" w:cs="Arial"/>
        <w:sz w:val="20"/>
      </w:rPr>
      <w:tab/>
      <w:t xml:space="preserve">Technická správa </w:t>
    </w:r>
    <w:r w:rsidR="0025603C">
      <w:t xml:space="preserve">                                 str </w:t>
    </w:r>
    <w:r w:rsidR="0025603C">
      <w:rPr>
        <w:rFonts w:ascii="Arial" w:hAnsi="Arial" w:cs="Arial"/>
        <w:b/>
        <w:bCs/>
      </w:rPr>
      <w:t xml:space="preserve">.:  </w:t>
    </w:r>
    <w:r w:rsidR="004D2F86">
      <w:rPr>
        <w:rStyle w:val="slostrany"/>
        <w:rFonts w:ascii="Arial" w:hAnsi="Arial" w:cs="Arial"/>
        <w:b/>
        <w:bCs/>
      </w:rPr>
      <w:fldChar w:fldCharType="begin"/>
    </w:r>
    <w:r w:rsidR="0025603C">
      <w:rPr>
        <w:rStyle w:val="slostrany"/>
        <w:rFonts w:ascii="Arial" w:hAnsi="Arial" w:cs="Arial"/>
        <w:b/>
        <w:bCs/>
      </w:rPr>
      <w:instrText xml:space="preserve"> PAGE </w:instrText>
    </w:r>
    <w:r w:rsidR="004D2F86">
      <w:rPr>
        <w:rStyle w:val="slostrany"/>
        <w:rFonts w:ascii="Arial" w:hAnsi="Arial" w:cs="Arial"/>
        <w:b/>
        <w:bCs/>
      </w:rPr>
      <w:fldChar w:fldCharType="separate"/>
    </w:r>
    <w:r w:rsidR="001D2057">
      <w:rPr>
        <w:rStyle w:val="slostrany"/>
        <w:rFonts w:ascii="Arial" w:hAnsi="Arial" w:cs="Arial"/>
        <w:b/>
        <w:bCs/>
        <w:noProof/>
      </w:rPr>
      <w:t>7</w:t>
    </w:r>
    <w:r w:rsidR="004D2F86">
      <w:rPr>
        <w:rStyle w:val="slostrany"/>
        <w:rFonts w:ascii="Arial" w:hAnsi="Arial" w:cs="Arial"/>
        <w:b/>
        <w:bCs/>
      </w:rPr>
      <w:fldChar w:fldCharType="end"/>
    </w:r>
    <w:r w:rsidR="0025603C">
      <w:rPr>
        <w:rFonts w:ascii="Arial" w:hAnsi="Arial" w:cs="Arial"/>
        <w:b/>
        <w:bCs/>
      </w:rPr>
      <w:t xml:space="preserve">  z  </w:t>
    </w:r>
    <w:r w:rsidR="004D2F86">
      <w:rPr>
        <w:rStyle w:val="slostrany"/>
        <w:rFonts w:ascii="Arial" w:hAnsi="Arial" w:cs="Arial"/>
        <w:b/>
        <w:bCs/>
      </w:rPr>
      <w:fldChar w:fldCharType="begin"/>
    </w:r>
    <w:r w:rsidR="0025603C">
      <w:rPr>
        <w:rStyle w:val="slostrany"/>
        <w:rFonts w:ascii="Arial" w:hAnsi="Arial" w:cs="Arial"/>
        <w:b/>
        <w:bCs/>
      </w:rPr>
      <w:instrText xml:space="preserve"> NUMPAGES </w:instrText>
    </w:r>
    <w:r w:rsidR="004D2F86">
      <w:rPr>
        <w:rStyle w:val="slostrany"/>
        <w:rFonts w:ascii="Arial" w:hAnsi="Arial" w:cs="Arial"/>
        <w:b/>
        <w:bCs/>
      </w:rPr>
      <w:fldChar w:fldCharType="separate"/>
    </w:r>
    <w:r w:rsidR="001D2057">
      <w:rPr>
        <w:rStyle w:val="slostrany"/>
        <w:rFonts w:ascii="Arial" w:hAnsi="Arial" w:cs="Arial"/>
        <w:b/>
        <w:bCs/>
        <w:noProof/>
      </w:rPr>
      <w:t>7</w:t>
    </w:r>
    <w:r w:rsidR="004D2F86">
      <w:rPr>
        <w:rStyle w:val="slostrany"/>
        <w:rFonts w:ascii="Arial" w:hAnsi="Arial" w:cs="Arial"/>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4D1D3" w14:textId="77777777" w:rsidR="0025603C" w:rsidRDefault="0025603C">
      <w:r>
        <w:separator/>
      </w:r>
    </w:p>
  </w:footnote>
  <w:footnote w:type="continuationSeparator" w:id="0">
    <w:p w14:paraId="56D5C0C0" w14:textId="77777777" w:rsidR="0025603C" w:rsidRDefault="00256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AD186" w14:textId="77777777" w:rsidR="0025603C" w:rsidRDefault="0025603C">
    <w:pPr>
      <w:pStyle w:val="Hlavika"/>
      <w:framePr w:wrap="auto" w:vAnchor="text" w:hAnchor="margin" w:xAlign="center" w:y="1"/>
      <w:rPr>
        <w:rStyle w:val="slostrany"/>
      </w:rPr>
    </w:pPr>
  </w:p>
  <w:p w14:paraId="1FE4A8DF" w14:textId="77777777" w:rsidR="0025603C" w:rsidRDefault="0025603C">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1" w15:restartNumberingAfterBreak="0">
    <w:nsid w:val="147E4CB5"/>
    <w:multiLevelType w:val="hybridMultilevel"/>
    <w:tmpl w:val="651A2A54"/>
    <w:lvl w:ilvl="0" w:tplc="81EE24D4">
      <w:start w:val="2"/>
      <w:numFmt w:val="bullet"/>
      <w:lvlText w:val="-"/>
      <w:lvlJc w:val="left"/>
      <w:pPr>
        <w:tabs>
          <w:tab w:val="num" w:pos="435"/>
        </w:tabs>
        <w:ind w:left="435" w:hanging="360"/>
      </w:pPr>
      <w:rPr>
        <w:rFonts w:ascii="Arial" w:eastAsia="Times New Roman" w:hAnsi="Arial" w:cs="Arial" w:hint="default"/>
      </w:rPr>
    </w:lvl>
    <w:lvl w:ilvl="1" w:tplc="041B0003" w:tentative="1">
      <w:start w:val="1"/>
      <w:numFmt w:val="bullet"/>
      <w:lvlText w:val="o"/>
      <w:lvlJc w:val="left"/>
      <w:pPr>
        <w:tabs>
          <w:tab w:val="num" w:pos="1155"/>
        </w:tabs>
        <w:ind w:left="1155" w:hanging="360"/>
      </w:pPr>
      <w:rPr>
        <w:rFonts w:ascii="Courier New" w:hAnsi="Courier New" w:cs="Courier New" w:hint="default"/>
      </w:rPr>
    </w:lvl>
    <w:lvl w:ilvl="2" w:tplc="041B0005" w:tentative="1">
      <w:start w:val="1"/>
      <w:numFmt w:val="bullet"/>
      <w:lvlText w:val=""/>
      <w:lvlJc w:val="left"/>
      <w:pPr>
        <w:tabs>
          <w:tab w:val="num" w:pos="1875"/>
        </w:tabs>
        <w:ind w:left="1875" w:hanging="360"/>
      </w:pPr>
      <w:rPr>
        <w:rFonts w:ascii="Wingdings" w:hAnsi="Wingdings" w:hint="default"/>
      </w:rPr>
    </w:lvl>
    <w:lvl w:ilvl="3" w:tplc="041B0001" w:tentative="1">
      <w:start w:val="1"/>
      <w:numFmt w:val="bullet"/>
      <w:lvlText w:val=""/>
      <w:lvlJc w:val="left"/>
      <w:pPr>
        <w:tabs>
          <w:tab w:val="num" w:pos="2595"/>
        </w:tabs>
        <w:ind w:left="2595" w:hanging="360"/>
      </w:pPr>
      <w:rPr>
        <w:rFonts w:ascii="Symbol" w:hAnsi="Symbol" w:hint="default"/>
      </w:rPr>
    </w:lvl>
    <w:lvl w:ilvl="4" w:tplc="041B0003" w:tentative="1">
      <w:start w:val="1"/>
      <w:numFmt w:val="bullet"/>
      <w:lvlText w:val="o"/>
      <w:lvlJc w:val="left"/>
      <w:pPr>
        <w:tabs>
          <w:tab w:val="num" w:pos="3315"/>
        </w:tabs>
        <w:ind w:left="3315" w:hanging="360"/>
      </w:pPr>
      <w:rPr>
        <w:rFonts w:ascii="Courier New" w:hAnsi="Courier New" w:cs="Courier New" w:hint="default"/>
      </w:rPr>
    </w:lvl>
    <w:lvl w:ilvl="5" w:tplc="041B0005" w:tentative="1">
      <w:start w:val="1"/>
      <w:numFmt w:val="bullet"/>
      <w:lvlText w:val=""/>
      <w:lvlJc w:val="left"/>
      <w:pPr>
        <w:tabs>
          <w:tab w:val="num" w:pos="4035"/>
        </w:tabs>
        <w:ind w:left="4035" w:hanging="360"/>
      </w:pPr>
      <w:rPr>
        <w:rFonts w:ascii="Wingdings" w:hAnsi="Wingdings" w:hint="default"/>
      </w:rPr>
    </w:lvl>
    <w:lvl w:ilvl="6" w:tplc="041B0001" w:tentative="1">
      <w:start w:val="1"/>
      <w:numFmt w:val="bullet"/>
      <w:lvlText w:val=""/>
      <w:lvlJc w:val="left"/>
      <w:pPr>
        <w:tabs>
          <w:tab w:val="num" w:pos="4755"/>
        </w:tabs>
        <w:ind w:left="4755" w:hanging="360"/>
      </w:pPr>
      <w:rPr>
        <w:rFonts w:ascii="Symbol" w:hAnsi="Symbol" w:hint="default"/>
      </w:rPr>
    </w:lvl>
    <w:lvl w:ilvl="7" w:tplc="041B0003" w:tentative="1">
      <w:start w:val="1"/>
      <w:numFmt w:val="bullet"/>
      <w:lvlText w:val="o"/>
      <w:lvlJc w:val="left"/>
      <w:pPr>
        <w:tabs>
          <w:tab w:val="num" w:pos="5475"/>
        </w:tabs>
        <w:ind w:left="5475" w:hanging="360"/>
      </w:pPr>
      <w:rPr>
        <w:rFonts w:ascii="Courier New" w:hAnsi="Courier New" w:cs="Courier New" w:hint="default"/>
      </w:rPr>
    </w:lvl>
    <w:lvl w:ilvl="8" w:tplc="041B0005" w:tentative="1">
      <w:start w:val="1"/>
      <w:numFmt w:val="bullet"/>
      <w:lvlText w:val=""/>
      <w:lvlJc w:val="left"/>
      <w:pPr>
        <w:tabs>
          <w:tab w:val="num" w:pos="6195"/>
        </w:tabs>
        <w:ind w:left="6195" w:hanging="360"/>
      </w:pPr>
      <w:rPr>
        <w:rFonts w:ascii="Wingdings" w:hAnsi="Wingdings" w:hint="default"/>
      </w:rPr>
    </w:lvl>
  </w:abstractNum>
  <w:abstractNum w:abstractNumId="2" w15:restartNumberingAfterBreak="0">
    <w:nsid w:val="19C30E92"/>
    <w:multiLevelType w:val="hybridMultilevel"/>
    <w:tmpl w:val="780E54F4"/>
    <w:lvl w:ilvl="0" w:tplc="80AA5676">
      <w:start w:val="4"/>
      <w:numFmt w:val="bullet"/>
      <w:lvlText w:val="-"/>
      <w:lvlJc w:val="left"/>
      <w:pPr>
        <w:ind w:left="502" w:hanging="360"/>
      </w:pPr>
      <w:rPr>
        <w:rFonts w:ascii="Arial" w:eastAsia="Times New Roman" w:hAnsi="Arial" w:cs="Arial" w:hint="default"/>
      </w:rPr>
    </w:lvl>
    <w:lvl w:ilvl="1" w:tplc="041B0003" w:tentative="1">
      <w:start w:val="1"/>
      <w:numFmt w:val="bullet"/>
      <w:lvlText w:val="o"/>
      <w:lvlJc w:val="left"/>
      <w:pPr>
        <w:ind w:left="1222" w:hanging="360"/>
      </w:pPr>
      <w:rPr>
        <w:rFonts w:ascii="Courier New" w:hAnsi="Courier New" w:cs="Courier New" w:hint="default"/>
      </w:rPr>
    </w:lvl>
    <w:lvl w:ilvl="2" w:tplc="041B0005" w:tentative="1">
      <w:start w:val="1"/>
      <w:numFmt w:val="bullet"/>
      <w:lvlText w:val=""/>
      <w:lvlJc w:val="left"/>
      <w:pPr>
        <w:ind w:left="1942" w:hanging="360"/>
      </w:pPr>
      <w:rPr>
        <w:rFonts w:ascii="Wingdings" w:hAnsi="Wingdings" w:hint="default"/>
      </w:rPr>
    </w:lvl>
    <w:lvl w:ilvl="3" w:tplc="041B0001" w:tentative="1">
      <w:start w:val="1"/>
      <w:numFmt w:val="bullet"/>
      <w:lvlText w:val=""/>
      <w:lvlJc w:val="left"/>
      <w:pPr>
        <w:ind w:left="2662" w:hanging="360"/>
      </w:pPr>
      <w:rPr>
        <w:rFonts w:ascii="Symbol" w:hAnsi="Symbol" w:hint="default"/>
      </w:rPr>
    </w:lvl>
    <w:lvl w:ilvl="4" w:tplc="041B0003" w:tentative="1">
      <w:start w:val="1"/>
      <w:numFmt w:val="bullet"/>
      <w:lvlText w:val="o"/>
      <w:lvlJc w:val="left"/>
      <w:pPr>
        <w:ind w:left="3382" w:hanging="360"/>
      </w:pPr>
      <w:rPr>
        <w:rFonts w:ascii="Courier New" w:hAnsi="Courier New" w:cs="Courier New" w:hint="default"/>
      </w:rPr>
    </w:lvl>
    <w:lvl w:ilvl="5" w:tplc="041B0005" w:tentative="1">
      <w:start w:val="1"/>
      <w:numFmt w:val="bullet"/>
      <w:lvlText w:val=""/>
      <w:lvlJc w:val="left"/>
      <w:pPr>
        <w:ind w:left="4102" w:hanging="360"/>
      </w:pPr>
      <w:rPr>
        <w:rFonts w:ascii="Wingdings" w:hAnsi="Wingdings" w:hint="default"/>
      </w:rPr>
    </w:lvl>
    <w:lvl w:ilvl="6" w:tplc="041B0001" w:tentative="1">
      <w:start w:val="1"/>
      <w:numFmt w:val="bullet"/>
      <w:lvlText w:val=""/>
      <w:lvlJc w:val="left"/>
      <w:pPr>
        <w:ind w:left="4822" w:hanging="360"/>
      </w:pPr>
      <w:rPr>
        <w:rFonts w:ascii="Symbol" w:hAnsi="Symbol" w:hint="default"/>
      </w:rPr>
    </w:lvl>
    <w:lvl w:ilvl="7" w:tplc="041B0003" w:tentative="1">
      <w:start w:val="1"/>
      <w:numFmt w:val="bullet"/>
      <w:lvlText w:val="o"/>
      <w:lvlJc w:val="left"/>
      <w:pPr>
        <w:ind w:left="5542" w:hanging="360"/>
      </w:pPr>
      <w:rPr>
        <w:rFonts w:ascii="Courier New" w:hAnsi="Courier New" w:cs="Courier New" w:hint="default"/>
      </w:rPr>
    </w:lvl>
    <w:lvl w:ilvl="8" w:tplc="041B0005" w:tentative="1">
      <w:start w:val="1"/>
      <w:numFmt w:val="bullet"/>
      <w:lvlText w:val=""/>
      <w:lvlJc w:val="left"/>
      <w:pPr>
        <w:ind w:left="6262" w:hanging="360"/>
      </w:pPr>
      <w:rPr>
        <w:rFonts w:ascii="Wingdings" w:hAnsi="Wingdings" w:hint="default"/>
      </w:rPr>
    </w:lvl>
  </w:abstractNum>
  <w:abstractNum w:abstractNumId="3" w15:restartNumberingAfterBreak="0">
    <w:nsid w:val="1FC73C41"/>
    <w:multiLevelType w:val="multilevel"/>
    <w:tmpl w:val="73806D26"/>
    <w:lvl w:ilvl="0">
      <w:start w:val="2"/>
      <w:numFmt w:val="decimal"/>
      <w:lvlText w:val="%1"/>
      <w:lvlJc w:val="left"/>
      <w:pPr>
        <w:tabs>
          <w:tab w:val="num" w:pos="405"/>
        </w:tabs>
        <w:ind w:left="405" w:hanging="405"/>
      </w:pPr>
      <w:rPr>
        <w:rFonts w:hint="default"/>
      </w:rPr>
    </w:lvl>
    <w:lvl w:ilvl="1">
      <w:start w:val="5"/>
      <w:numFmt w:val="decimal"/>
      <w:lvlText w:val="%1.%2"/>
      <w:lvlJc w:val="left"/>
      <w:pPr>
        <w:tabs>
          <w:tab w:val="num" w:pos="795"/>
        </w:tabs>
        <w:ind w:left="795" w:hanging="720"/>
      </w:pPr>
      <w:rPr>
        <w:rFonts w:hint="default"/>
      </w:rPr>
    </w:lvl>
    <w:lvl w:ilvl="2">
      <w:start w:val="1"/>
      <w:numFmt w:val="decimal"/>
      <w:lvlText w:val="%1.%2.%3"/>
      <w:lvlJc w:val="left"/>
      <w:pPr>
        <w:tabs>
          <w:tab w:val="num" w:pos="870"/>
        </w:tabs>
        <w:ind w:left="870" w:hanging="720"/>
      </w:pPr>
      <w:rPr>
        <w:rFonts w:hint="default"/>
      </w:rPr>
    </w:lvl>
    <w:lvl w:ilvl="3">
      <w:start w:val="1"/>
      <w:numFmt w:val="decimal"/>
      <w:lvlText w:val="%1.%2.%3.%4"/>
      <w:lvlJc w:val="left"/>
      <w:pPr>
        <w:tabs>
          <w:tab w:val="num" w:pos="1305"/>
        </w:tabs>
        <w:ind w:left="1305" w:hanging="1080"/>
      </w:pPr>
      <w:rPr>
        <w:rFonts w:hint="default"/>
      </w:rPr>
    </w:lvl>
    <w:lvl w:ilvl="4">
      <w:start w:val="1"/>
      <w:numFmt w:val="decimal"/>
      <w:lvlText w:val="%1.%2.%3.%4.%5"/>
      <w:lvlJc w:val="left"/>
      <w:pPr>
        <w:tabs>
          <w:tab w:val="num" w:pos="1380"/>
        </w:tabs>
        <w:ind w:left="1380" w:hanging="1080"/>
      </w:pPr>
      <w:rPr>
        <w:rFonts w:hint="default"/>
      </w:rPr>
    </w:lvl>
    <w:lvl w:ilvl="5">
      <w:start w:val="1"/>
      <w:numFmt w:val="decimal"/>
      <w:lvlText w:val="%1.%2.%3.%4.%5.%6"/>
      <w:lvlJc w:val="left"/>
      <w:pPr>
        <w:tabs>
          <w:tab w:val="num" w:pos="1815"/>
        </w:tabs>
        <w:ind w:left="1815" w:hanging="1440"/>
      </w:pPr>
      <w:rPr>
        <w:rFonts w:hint="default"/>
      </w:rPr>
    </w:lvl>
    <w:lvl w:ilvl="6">
      <w:start w:val="1"/>
      <w:numFmt w:val="decimal"/>
      <w:lvlText w:val="%1.%2.%3.%4.%5.%6.%7"/>
      <w:lvlJc w:val="left"/>
      <w:pPr>
        <w:tabs>
          <w:tab w:val="num" w:pos="2250"/>
        </w:tabs>
        <w:ind w:left="2250" w:hanging="1800"/>
      </w:pPr>
      <w:rPr>
        <w:rFonts w:hint="default"/>
      </w:rPr>
    </w:lvl>
    <w:lvl w:ilvl="7">
      <w:start w:val="1"/>
      <w:numFmt w:val="decimal"/>
      <w:lvlText w:val="%1.%2.%3.%4.%5.%6.%7.%8"/>
      <w:lvlJc w:val="left"/>
      <w:pPr>
        <w:tabs>
          <w:tab w:val="num" w:pos="2325"/>
        </w:tabs>
        <w:ind w:left="2325" w:hanging="1800"/>
      </w:pPr>
      <w:rPr>
        <w:rFonts w:hint="default"/>
      </w:rPr>
    </w:lvl>
    <w:lvl w:ilvl="8">
      <w:start w:val="1"/>
      <w:numFmt w:val="decimal"/>
      <w:lvlText w:val="%1.%2.%3.%4.%5.%6.%7.%8.%9"/>
      <w:lvlJc w:val="left"/>
      <w:pPr>
        <w:tabs>
          <w:tab w:val="num" w:pos="2760"/>
        </w:tabs>
        <w:ind w:left="2760" w:hanging="2160"/>
      </w:pPr>
      <w:rPr>
        <w:rFonts w:hint="default"/>
      </w:rPr>
    </w:lvl>
  </w:abstractNum>
  <w:abstractNum w:abstractNumId="4" w15:restartNumberingAfterBreak="0">
    <w:nsid w:val="21E87E05"/>
    <w:multiLevelType w:val="multilevel"/>
    <w:tmpl w:val="9E1E8864"/>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435"/>
        </w:tabs>
        <w:ind w:left="435" w:hanging="360"/>
      </w:pPr>
      <w:rPr>
        <w:rFonts w:hint="default"/>
      </w:rPr>
    </w:lvl>
    <w:lvl w:ilvl="2">
      <w:start w:val="1"/>
      <w:numFmt w:val="decimal"/>
      <w:lvlText w:val="%1.%2.%3."/>
      <w:lvlJc w:val="left"/>
      <w:pPr>
        <w:tabs>
          <w:tab w:val="num" w:pos="870"/>
        </w:tabs>
        <w:ind w:left="870" w:hanging="720"/>
      </w:pPr>
      <w:rPr>
        <w:rFonts w:hint="default"/>
      </w:rPr>
    </w:lvl>
    <w:lvl w:ilvl="3">
      <w:start w:val="1"/>
      <w:numFmt w:val="decimal"/>
      <w:lvlText w:val="%1.%2.%3.%4."/>
      <w:lvlJc w:val="left"/>
      <w:pPr>
        <w:tabs>
          <w:tab w:val="num" w:pos="945"/>
        </w:tabs>
        <w:ind w:left="945" w:hanging="720"/>
      </w:pPr>
      <w:rPr>
        <w:rFonts w:hint="default"/>
      </w:rPr>
    </w:lvl>
    <w:lvl w:ilvl="4">
      <w:start w:val="1"/>
      <w:numFmt w:val="decimal"/>
      <w:lvlText w:val="%1.%2.%3.%4.%5."/>
      <w:lvlJc w:val="left"/>
      <w:pPr>
        <w:tabs>
          <w:tab w:val="num" w:pos="1380"/>
        </w:tabs>
        <w:ind w:left="1380" w:hanging="1080"/>
      </w:pPr>
      <w:rPr>
        <w:rFonts w:hint="default"/>
      </w:rPr>
    </w:lvl>
    <w:lvl w:ilvl="5">
      <w:start w:val="1"/>
      <w:numFmt w:val="decimal"/>
      <w:lvlText w:val="%1.%2.%3.%4.%5.%6."/>
      <w:lvlJc w:val="left"/>
      <w:pPr>
        <w:tabs>
          <w:tab w:val="num" w:pos="1455"/>
        </w:tabs>
        <w:ind w:left="1455" w:hanging="1080"/>
      </w:pPr>
      <w:rPr>
        <w:rFonts w:hint="default"/>
      </w:rPr>
    </w:lvl>
    <w:lvl w:ilvl="6">
      <w:start w:val="1"/>
      <w:numFmt w:val="decimal"/>
      <w:lvlText w:val="%1.%2.%3.%4.%5.%6.%7."/>
      <w:lvlJc w:val="left"/>
      <w:pPr>
        <w:tabs>
          <w:tab w:val="num" w:pos="1890"/>
        </w:tabs>
        <w:ind w:left="1890" w:hanging="1440"/>
      </w:pPr>
      <w:rPr>
        <w:rFonts w:hint="default"/>
      </w:rPr>
    </w:lvl>
    <w:lvl w:ilvl="7">
      <w:start w:val="1"/>
      <w:numFmt w:val="decimal"/>
      <w:lvlText w:val="%1.%2.%3.%4.%5.%6.%7.%8."/>
      <w:lvlJc w:val="left"/>
      <w:pPr>
        <w:tabs>
          <w:tab w:val="num" w:pos="1965"/>
        </w:tabs>
        <w:ind w:left="1965" w:hanging="1440"/>
      </w:pPr>
      <w:rPr>
        <w:rFonts w:hint="default"/>
      </w:rPr>
    </w:lvl>
    <w:lvl w:ilvl="8">
      <w:start w:val="1"/>
      <w:numFmt w:val="decimal"/>
      <w:lvlText w:val="%1.%2.%3.%4.%5.%6.%7.%8.%9."/>
      <w:lvlJc w:val="left"/>
      <w:pPr>
        <w:tabs>
          <w:tab w:val="num" w:pos="2400"/>
        </w:tabs>
        <w:ind w:left="2400" w:hanging="1800"/>
      </w:pPr>
      <w:rPr>
        <w:rFonts w:hint="default"/>
      </w:rPr>
    </w:lvl>
  </w:abstractNum>
  <w:abstractNum w:abstractNumId="5" w15:restartNumberingAfterBreak="0">
    <w:nsid w:val="2B4372B2"/>
    <w:multiLevelType w:val="multilevel"/>
    <w:tmpl w:val="BF560070"/>
    <w:lvl w:ilvl="0">
      <w:start w:val="1"/>
      <w:numFmt w:val="decimal"/>
      <w:lvlText w:val="%1.)"/>
      <w:legacy w:legacy="1" w:legacySpace="120" w:legacyIndent="375"/>
      <w:lvlJc w:val="left"/>
      <w:pPr>
        <w:ind w:left="375" w:hanging="375"/>
      </w:pPr>
    </w:lvl>
    <w:lvl w:ilvl="1">
      <w:start w:val="1"/>
      <w:numFmt w:val="lowerLetter"/>
      <w:lvlText w:val="%2."/>
      <w:legacy w:legacy="1" w:legacySpace="120" w:legacyIndent="360"/>
      <w:lvlJc w:val="left"/>
      <w:pPr>
        <w:ind w:left="735" w:hanging="360"/>
      </w:pPr>
    </w:lvl>
    <w:lvl w:ilvl="2">
      <w:start w:val="1"/>
      <w:numFmt w:val="lowerRoman"/>
      <w:lvlText w:val="%3."/>
      <w:legacy w:legacy="1" w:legacySpace="120" w:legacyIndent="180"/>
      <w:lvlJc w:val="left"/>
      <w:pPr>
        <w:ind w:left="915" w:hanging="180"/>
      </w:pPr>
    </w:lvl>
    <w:lvl w:ilvl="3">
      <w:start w:val="1"/>
      <w:numFmt w:val="decimal"/>
      <w:lvlText w:val="%4."/>
      <w:legacy w:legacy="1" w:legacySpace="120" w:legacyIndent="360"/>
      <w:lvlJc w:val="left"/>
      <w:pPr>
        <w:ind w:left="1275" w:hanging="360"/>
      </w:pPr>
    </w:lvl>
    <w:lvl w:ilvl="4">
      <w:start w:val="1"/>
      <w:numFmt w:val="lowerLetter"/>
      <w:lvlText w:val="%5."/>
      <w:legacy w:legacy="1" w:legacySpace="120" w:legacyIndent="360"/>
      <w:lvlJc w:val="left"/>
      <w:pPr>
        <w:ind w:left="1635" w:hanging="360"/>
      </w:pPr>
    </w:lvl>
    <w:lvl w:ilvl="5">
      <w:start w:val="1"/>
      <w:numFmt w:val="lowerRoman"/>
      <w:lvlText w:val="%6."/>
      <w:legacy w:legacy="1" w:legacySpace="120" w:legacyIndent="180"/>
      <w:lvlJc w:val="left"/>
      <w:pPr>
        <w:ind w:left="1815" w:hanging="180"/>
      </w:pPr>
    </w:lvl>
    <w:lvl w:ilvl="6">
      <w:start w:val="1"/>
      <w:numFmt w:val="decimal"/>
      <w:lvlText w:val="%7."/>
      <w:legacy w:legacy="1" w:legacySpace="120" w:legacyIndent="360"/>
      <w:lvlJc w:val="left"/>
      <w:pPr>
        <w:ind w:left="2175" w:hanging="360"/>
      </w:pPr>
    </w:lvl>
    <w:lvl w:ilvl="7">
      <w:start w:val="1"/>
      <w:numFmt w:val="lowerLetter"/>
      <w:lvlText w:val="%8."/>
      <w:legacy w:legacy="1" w:legacySpace="120" w:legacyIndent="360"/>
      <w:lvlJc w:val="left"/>
      <w:pPr>
        <w:ind w:left="2535" w:hanging="360"/>
      </w:pPr>
    </w:lvl>
    <w:lvl w:ilvl="8">
      <w:start w:val="1"/>
      <w:numFmt w:val="lowerRoman"/>
      <w:lvlText w:val="%9."/>
      <w:legacy w:legacy="1" w:legacySpace="120" w:legacyIndent="180"/>
      <w:lvlJc w:val="left"/>
      <w:pPr>
        <w:ind w:left="2715" w:hanging="180"/>
      </w:pPr>
    </w:lvl>
  </w:abstractNum>
  <w:abstractNum w:abstractNumId="6" w15:restartNumberingAfterBreak="0">
    <w:nsid w:val="2C207CC3"/>
    <w:multiLevelType w:val="hybridMultilevel"/>
    <w:tmpl w:val="20DE674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396230AC"/>
    <w:multiLevelType w:val="hybridMultilevel"/>
    <w:tmpl w:val="0B0E9CC0"/>
    <w:lvl w:ilvl="0" w:tplc="DA5EF184">
      <w:start w:val="1"/>
      <w:numFmt w:val="decimal"/>
      <w:lvlText w:val="%1."/>
      <w:lvlJc w:val="left"/>
      <w:pPr>
        <w:tabs>
          <w:tab w:val="num" w:pos="720"/>
        </w:tabs>
        <w:ind w:left="720" w:hanging="360"/>
      </w:pPr>
      <w:rPr>
        <w:rFonts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3B002565"/>
    <w:multiLevelType w:val="multilevel"/>
    <w:tmpl w:val="3E9C43EE"/>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74304C"/>
    <w:multiLevelType w:val="hybridMultilevel"/>
    <w:tmpl w:val="248A1B2C"/>
    <w:lvl w:ilvl="0" w:tplc="3FF62914">
      <w:start w:val="1"/>
      <w:numFmt w:val="bullet"/>
      <w:lvlText w:val=""/>
      <w:lvlJc w:val="left"/>
      <w:pPr>
        <w:tabs>
          <w:tab w:val="num" w:pos="720"/>
        </w:tabs>
        <w:ind w:left="720" w:hanging="72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51F60B5"/>
    <w:multiLevelType w:val="singleLevel"/>
    <w:tmpl w:val="041B000F"/>
    <w:lvl w:ilvl="0">
      <w:start w:val="1"/>
      <w:numFmt w:val="decimal"/>
      <w:lvlText w:val="%1."/>
      <w:lvlJc w:val="left"/>
      <w:pPr>
        <w:tabs>
          <w:tab w:val="num" w:pos="360"/>
        </w:tabs>
        <w:ind w:left="360" w:hanging="360"/>
      </w:pPr>
    </w:lvl>
  </w:abstractNum>
  <w:abstractNum w:abstractNumId="11" w15:restartNumberingAfterBreak="0">
    <w:nsid w:val="5C810BBD"/>
    <w:multiLevelType w:val="hybridMultilevel"/>
    <w:tmpl w:val="DEA4EAFC"/>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5FB27FE3"/>
    <w:multiLevelType w:val="hybridMultilevel"/>
    <w:tmpl w:val="61D8F17E"/>
    <w:lvl w:ilvl="0" w:tplc="93500E00">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63F27CB4"/>
    <w:multiLevelType w:val="multilevel"/>
    <w:tmpl w:val="B0427FF8"/>
    <w:lvl w:ilvl="0">
      <w:start w:val="1"/>
      <w:numFmt w:val="decimal"/>
      <w:lvlText w:val="%1.)"/>
      <w:legacy w:legacy="1" w:legacySpace="120" w:legacyIndent="375"/>
      <w:lvlJc w:val="left"/>
      <w:pPr>
        <w:ind w:left="375" w:hanging="375"/>
      </w:pPr>
    </w:lvl>
    <w:lvl w:ilvl="1">
      <w:start w:val="1"/>
      <w:numFmt w:val="lowerLetter"/>
      <w:lvlText w:val="%2."/>
      <w:legacy w:legacy="1" w:legacySpace="120" w:legacyIndent="360"/>
      <w:lvlJc w:val="left"/>
      <w:pPr>
        <w:ind w:left="735" w:hanging="360"/>
      </w:pPr>
    </w:lvl>
    <w:lvl w:ilvl="2">
      <w:start w:val="1"/>
      <w:numFmt w:val="lowerRoman"/>
      <w:lvlText w:val="%3."/>
      <w:legacy w:legacy="1" w:legacySpace="120" w:legacyIndent="180"/>
      <w:lvlJc w:val="left"/>
      <w:pPr>
        <w:ind w:left="915" w:hanging="180"/>
      </w:pPr>
    </w:lvl>
    <w:lvl w:ilvl="3">
      <w:start w:val="1"/>
      <w:numFmt w:val="decimal"/>
      <w:lvlText w:val="%4."/>
      <w:legacy w:legacy="1" w:legacySpace="120" w:legacyIndent="360"/>
      <w:lvlJc w:val="left"/>
      <w:pPr>
        <w:ind w:left="1275" w:hanging="360"/>
      </w:pPr>
    </w:lvl>
    <w:lvl w:ilvl="4">
      <w:start w:val="1"/>
      <w:numFmt w:val="lowerLetter"/>
      <w:lvlText w:val="%5."/>
      <w:legacy w:legacy="1" w:legacySpace="120" w:legacyIndent="360"/>
      <w:lvlJc w:val="left"/>
      <w:pPr>
        <w:ind w:left="1635" w:hanging="360"/>
      </w:pPr>
    </w:lvl>
    <w:lvl w:ilvl="5">
      <w:start w:val="1"/>
      <w:numFmt w:val="lowerRoman"/>
      <w:lvlText w:val="%6."/>
      <w:legacy w:legacy="1" w:legacySpace="120" w:legacyIndent="180"/>
      <w:lvlJc w:val="left"/>
      <w:pPr>
        <w:ind w:left="1815" w:hanging="180"/>
      </w:pPr>
    </w:lvl>
    <w:lvl w:ilvl="6">
      <w:start w:val="1"/>
      <w:numFmt w:val="decimal"/>
      <w:lvlText w:val="%7."/>
      <w:legacy w:legacy="1" w:legacySpace="120" w:legacyIndent="360"/>
      <w:lvlJc w:val="left"/>
      <w:pPr>
        <w:ind w:left="2175" w:hanging="360"/>
      </w:pPr>
    </w:lvl>
    <w:lvl w:ilvl="7">
      <w:start w:val="1"/>
      <w:numFmt w:val="lowerLetter"/>
      <w:lvlText w:val="%8."/>
      <w:legacy w:legacy="1" w:legacySpace="120" w:legacyIndent="360"/>
      <w:lvlJc w:val="left"/>
      <w:pPr>
        <w:ind w:left="2535" w:hanging="360"/>
      </w:pPr>
    </w:lvl>
    <w:lvl w:ilvl="8">
      <w:start w:val="1"/>
      <w:numFmt w:val="lowerRoman"/>
      <w:lvlText w:val="%9."/>
      <w:legacy w:legacy="1" w:legacySpace="120" w:legacyIndent="180"/>
      <w:lvlJc w:val="left"/>
      <w:pPr>
        <w:ind w:left="2715" w:hanging="180"/>
      </w:pPr>
    </w:lvl>
  </w:abstractNum>
  <w:abstractNum w:abstractNumId="14" w15:restartNumberingAfterBreak="0">
    <w:nsid w:val="733A3E49"/>
    <w:multiLevelType w:val="hybridMultilevel"/>
    <w:tmpl w:val="CE8E9EB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735B41BC"/>
    <w:multiLevelType w:val="hybridMultilevel"/>
    <w:tmpl w:val="77E87774"/>
    <w:lvl w:ilvl="0" w:tplc="7FAED088">
      <w:start w:val="2"/>
      <w:numFmt w:val="bullet"/>
      <w:lvlText w:val="-"/>
      <w:lvlJc w:val="left"/>
      <w:pPr>
        <w:tabs>
          <w:tab w:val="num" w:pos="720"/>
        </w:tabs>
        <w:ind w:left="720" w:hanging="360"/>
      </w:pPr>
      <w:rPr>
        <w:rFonts w:ascii="Arial" w:eastAsia="Times New Roman" w:hAnsi="Arial" w:cs="Aria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E15D3D"/>
    <w:multiLevelType w:val="hybridMultilevel"/>
    <w:tmpl w:val="29A05E2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2048599654">
    <w:abstractNumId w:val="5"/>
  </w:num>
  <w:num w:numId="2" w16cid:durableId="1485583071">
    <w:abstractNumId w:val="5"/>
    <w:lvlOverride w:ilvl="0">
      <w:lvl w:ilvl="0">
        <w:start w:val="1"/>
        <w:numFmt w:val="decimal"/>
        <w:lvlText w:val="%1.)"/>
        <w:legacy w:legacy="1" w:legacySpace="120" w:legacyIndent="375"/>
        <w:lvlJc w:val="left"/>
        <w:pPr>
          <w:ind w:left="375" w:hanging="375"/>
        </w:pPr>
      </w:lvl>
    </w:lvlOverride>
    <w:lvlOverride w:ilvl="1">
      <w:lvl w:ilvl="1">
        <w:start w:val="1"/>
        <w:numFmt w:val="lowerLetter"/>
        <w:lvlText w:val="%2."/>
        <w:legacy w:legacy="1" w:legacySpace="120" w:legacyIndent="360"/>
        <w:lvlJc w:val="left"/>
        <w:pPr>
          <w:ind w:left="735" w:hanging="360"/>
        </w:pPr>
      </w:lvl>
    </w:lvlOverride>
    <w:lvlOverride w:ilvl="2">
      <w:lvl w:ilvl="2">
        <w:start w:val="1"/>
        <w:numFmt w:val="lowerRoman"/>
        <w:lvlText w:val="%3."/>
        <w:legacy w:legacy="1" w:legacySpace="120" w:legacyIndent="180"/>
        <w:lvlJc w:val="left"/>
        <w:pPr>
          <w:ind w:left="915" w:hanging="180"/>
        </w:pPr>
      </w:lvl>
    </w:lvlOverride>
    <w:lvlOverride w:ilvl="3">
      <w:lvl w:ilvl="3">
        <w:start w:val="1"/>
        <w:numFmt w:val="decimal"/>
        <w:lvlText w:val="%4."/>
        <w:legacy w:legacy="1" w:legacySpace="120" w:legacyIndent="360"/>
        <w:lvlJc w:val="left"/>
        <w:pPr>
          <w:ind w:left="1275" w:hanging="360"/>
        </w:pPr>
      </w:lvl>
    </w:lvlOverride>
    <w:lvlOverride w:ilvl="4">
      <w:lvl w:ilvl="4">
        <w:start w:val="1"/>
        <w:numFmt w:val="lowerLetter"/>
        <w:lvlText w:val="%5."/>
        <w:legacy w:legacy="1" w:legacySpace="120" w:legacyIndent="360"/>
        <w:lvlJc w:val="left"/>
        <w:pPr>
          <w:ind w:left="1635" w:hanging="360"/>
        </w:pPr>
      </w:lvl>
    </w:lvlOverride>
    <w:lvlOverride w:ilvl="5">
      <w:lvl w:ilvl="5">
        <w:start w:val="1"/>
        <w:numFmt w:val="lowerRoman"/>
        <w:lvlText w:val="%6."/>
        <w:legacy w:legacy="1" w:legacySpace="120" w:legacyIndent="180"/>
        <w:lvlJc w:val="left"/>
        <w:pPr>
          <w:ind w:left="1815" w:hanging="180"/>
        </w:pPr>
      </w:lvl>
    </w:lvlOverride>
    <w:lvlOverride w:ilvl="6">
      <w:lvl w:ilvl="6">
        <w:start w:val="1"/>
        <w:numFmt w:val="decimal"/>
        <w:lvlText w:val="%7."/>
        <w:legacy w:legacy="1" w:legacySpace="120" w:legacyIndent="360"/>
        <w:lvlJc w:val="left"/>
        <w:pPr>
          <w:ind w:left="2175" w:hanging="360"/>
        </w:pPr>
      </w:lvl>
    </w:lvlOverride>
    <w:lvlOverride w:ilvl="7">
      <w:lvl w:ilvl="7">
        <w:start w:val="1"/>
        <w:numFmt w:val="lowerLetter"/>
        <w:lvlText w:val="%8."/>
        <w:legacy w:legacy="1" w:legacySpace="120" w:legacyIndent="360"/>
        <w:lvlJc w:val="left"/>
        <w:pPr>
          <w:ind w:left="2535" w:hanging="360"/>
        </w:pPr>
      </w:lvl>
    </w:lvlOverride>
    <w:lvlOverride w:ilvl="8">
      <w:lvl w:ilvl="8">
        <w:start w:val="1"/>
        <w:numFmt w:val="lowerRoman"/>
        <w:lvlText w:val="%9."/>
        <w:legacy w:legacy="1" w:legacySpace="120" w:legacyIndent="180"/>
        <w:lvlJc w:val="left"/>
        <w:pPr>
          <w:ind w:left="2715" w:hanging="180"/>
        </w:pPr>
      </w:lvl>
    </w:lvlOverride>
  </w:num>
  <w:num w:numId="3" w16cid:durableId="1381662148">
    <w:abstractNumId w:val="5"/>
    <w:lvlOverride w:ilvl="0">
      <w:lvl w:ilvl="0">
        <w:start w:val="1"/>
        <w:numFmt w:val="decimal"/>
        <w:lvlText w:val="%1.)"/>
        <w:legacy w:legacy="1" w:legacySpace="120" w:legacyIndent="375"/>
        <w:lvlJc w:val="left"/>
        <w:pPr>
          <w:ind w:left="375" w:hanging="375"/>
        </w:pPr>
      </w:lvl>
    </w:lvlOverride>
    <w:lvlOverride w:ilvl="1">
      <w:lvl w:ilvl="1">
        <w:start w:val="1"/>
        <w:numFmt w:val="lowerLetter"/>
        <w:lvlText w:val="%2."/>
        <w:legacy w:legacy="1" w:legacySpace="120" w:legacyIndent="360"/>
        <w:lvlJc w:val="left"/>
        <w:pPr>
          <w:ind w:left="735" w:hanging="360"/>
        </w:pPr>
      </w:lvl>
    </w:lvlOverride>
    <w:lvlOverride w:ilvl="2">
      <w:lvl w:ilvl="2">
        <w:start w:val="1"/>
        <w:numFmt w:val="lowerRoman"/>
        <w:lvlText w:val="%3."/>
        <w:legacy w:legacy="1" w:legacySpace="120" w:legacyIndent="180"/>
        <w:lvlJc w:val="left"/>
        <w:pPr>
          <w:ind w:left="915" w:hanging="180"/>
        </w:pPr>
      </w:lvl>
    </w:lvlOverride>
    <w:lvlOverride w:ilvl="3">
      <w:lvl w:ilvl="3">
        <w:start w:val="1"/>
        <w:numFmt w:val="decimal"/>
        <w:lvlText w:val="%4."/>
        <w:legacy w:legacy="1" w:legacySpace="120" w:legacyIndent="360"/>
        <w:lvlJc w:val="left"/>
        <w:pPr>
          <w:ind w:left="1275" w:hanging="360"/>
        </w:pPr>
      </w:lvl>
    </w:lvlOverride>
    <w:lvlOverride w:ilvl="4">
      <w:lvl w:ilvl="4">
        <w:start w:val="1"/>
        <w:numFmt w:val="lowerLetter"/>
        <w:lvlText w:val="%5."/>
        <w:legacy w:legacy="1" w:legacySpace="120" w:legacyIndent="360"/>
        <w:lvlJc w:val="left"/>
        <w:pPr>
          <w:ind w:left="1635" w:hanging="360"/>
        </w:pPr>
      </w:lvl>
    </w:lvlOverride>
    <w:lvlOverride w:ilvl="5">
      <w:lvl w:ilvl="5">
        <w:start w:val="1"/>
        <w:numFmt w:val="lowerRoman"/>
        <w:lvlText w:val="%6."/>
        <w:legacy w:legacy="1" w:legacySpace="120" w:legacyIndent="180"/>
        <w:lvlJc w:val="left"/>
        <w:pPr>
          <w:ind w:left="1815" w:hanging="180"/>
        </w:pPr>
      </w:lvl>
    </w:lvlOverride>
    <w:lvlOverride w:ilvl="6">
      <w:lvl w:ilvl="6">
        <w:start w:val="1"/>
        <w:numFmt w:val="decimal"/>
        <w:lvlText w:val="%7."/>
        <w:legacy w:legacy="1" w:legacySpace="120" w:legacyIndent="360"/>
        <w:lvlJc w:val="left"/>
        <w:pPr>
          <w:ind w:left="2175" w:hanging="360"/>
        </w:pPr>
      </w:lvl>
    </w:lvlOverride>
    <w:lvlOverride w:ilvl="7">
      <w:lvl w:ilvl="7">
        <w:start w:val="1"/>
        <w:numFmt w:val="lowerLetter"/>
        <w:lvlText w:val="%8."/>
        <w:legacy w:legacy="1" w:legacySpace="120" w:legacyIndent="360"/>
        <w:lvlJc w:val="left"/>
        <w:pPr>
          <w:ind w:left="2535" w:hanging="360"/>
        </w:pPr>
      </w:lvl>
    </w:lvlOverride>
    <w:lvlOverride w:ilvl="8">
      <w:lvl w:ilvl="8">
        <w:start w:val="1"/>
        <w:numFmt w:val="lowerRoman"/>
        <w:lvlText w:val="%9."/>
        <w:legacy w:legacy="1" w:legacySpace="120" w:legacyIndent="180"/>
        <w:lvlJc w:val="left"/>
        <w:pPr>
          <w:ind w:left="2715" w:hanging="180"/>
        </w:pPr>
      </w:lvl>
    </w:lvlOverride>
  </w:num>
  <w:num w:numId="4" w16cid:durableId="1329477955">
    <w:abstractNumId w:val="5"/>
    <w:lvlOverride w:ilvl="0">
      <w:lvl w:ilvl="0">
        <w:start w:val="1"/>
        <w:numFmt w:val="decimal"/>
        <w:lvlText w:val="%1.)"/>
        <w:legacy w:legacy="1" w:legacySpace="120" w:legacyIndent="375"/>
        <w:lvlJc w:val="left"/>
        <w:pPr>
          <w:ind w:left="375" w:hanging="375"/>
        </w:pPr>
      </w:lvl>
    </w:lvlOverride>
    <w:lvlOverride w:ilvl="1">
      <w:lvl w:ilvl="1">
        <w:start w:val="1"/>
        <w:numFmt w:val="lowerLetter"/>
        <w:lvlText w:val="%2."/>
        <w:legacy w:legacy="1" w:legacySpace="120" w:legacyIndent="360"/>
        <w:lvlJc w:val="left"/>
        <w:pPr>
          <w:ind w:left="735" w:hanging="360"/>
        </w:pPr>
      </w:lvl>
    </w:lvlOverride>
    <w:lvlOverride w:ilvl="2">
      <w:lvl w:ilvl="2">
        <w:start w:val="1"/>
        <w:numFmt w:val="lowerRoman"/>
        <w:lvlText w:val="%3."/>
        <w:legacy w:legacy="1" w:legacySpace="120" w:legacyIndent="180"/>
        <w:lvlJc w:val="left"/>
        <w:pPr>
          <w:ind w:left="915" w:hanging="180"/>
        </w:pPr>
      </w:lvl>
    </w:lvlOverride>
    <w:lvlOverride w:ilvl="3">
      <w:lvl w:ilvl="3">
        <w:start w:val="1"/>
        <w:numFmt w:val="decimal"/>
        <w:lvlText w:val="%4."/>
        <w:legacy w:legacy="1" w:legacySpace="120" w:legacyIndent="360"/>
        <w:lvlJc w:val="left"/>
        <w:pPr>
          <w:ind w:left="1275" w:hanging="360"/>
        </w:pPr>
      </w:lvl>
    </w:lvlOverride>
    <w:lvlOverride w:ilvl="4">
      <w:lvl w:ilvl="4">
        <w:start w:val="1"/>
        <w:numFmt w:val="lowerLetter"/>
        <w:lvlText w:val="%5."/>
        <w:legacy w:legacy="1" w:legacySpace="120" w:legacyIndent="360"/>
        <w:lvlJc w:val="left"/>
        <w:pPr>
          <w:ind w:left="1635" w:hanging="360"/>
        </w:pPr>
      </w:lvl>
    </w:lvlOverride>
    <w:lvlOverride w:ilvl="5">
      <w:lvl w:ilvl="5">
        <w:start w:val="1"/>
        <w:numFmt w:val="lowerRoman"/>
        <w:lvlText w:val="%6."/>
        <w:legacy w:legacy="1" w:legacySpace="120" w:legacyIndent="180"/>
        <w:lvlJc w:val="left"/>
        <w:pPr>
          <w:ind w:left="1815" w:hanging="180"/>
        </w:pPr>
      </w:lvl>
    </w:lvlOverride>
    <w:lvlOverride w:ilvl="6">
      <w:lvl w:ilvl="6">
        <w:start w:val="1"/>
        <w:numFmt w:val="decimal"/>
        <w:lvlText w:val="%7."/>
        <w:legacy w:legacy="1" w:legacySpace="120" w:legacyIndent="360"/>
        <w:lvlJc w:val="left"/>
        <w:pPr>
          <w:ind w:left="2175" w:hanging="360"/>
        </w:pPr>
      </w:lvl>
    </w:lvlOverride>
    <w:lvlOverride w:ilvl="7">
      <w:lvl w:ilvl="7">
        <w:start w:val="1"/>
        <w:numFmt w:val="lowerLetter"/>
        <w:lvlText w:val="%8."/>
        <w:legacy w:legacy="1" w:legacySpace="120" w:legacyIndent="360"/>
        <w:lvlJc w:val="left"/>
        <w:pPr>
          <w:ind w:left="2535" w:hanging="360"/>
        </w:pPr>
      </w:lvl>
    </w:lvlOverride>
    <w:lvlOverride w:ilvl="8">
      <w:lvl w:ilvl="8">
        <w:start w:val="1"/>
        <w:numFmt w:val="lowerRoman"/>
        <w:lvlText w:val="%9."/>
        <w:legacy w:legacy="1" w:legacySpace="120" w:legacyIndent="180"/>
        <w:lvlJc w:val="left"/>
        <w:pPr>
          <w:ind w:left="2715" w:hanging="180"/>
        </w:pPr>
      </w:lvl>
    </w:lvlOverride>
  </w:num>
  <w:num w:numId="5" w16cid:durableId="1293098213">
    <w:abstractNumId w:val="13"/>
  </w:num>
  <w:num w:numId="6" w16cid:durableId="1883441023">
    <w:abstractNumId w:val="13"/>
    <w:lvlOverride w:ilvl="0">
      <w:lvl w:ilvl="0">
        <w:start w:val="1"/>
        <w:numFmt w:val="decimal"/>
        <w:lvlText w:val="%1.)"/>
        <w:legacy w:legacy="1" w:legacySpace="120" w:legacyIndent="375"/>
        <w:lvlJc w:val="left"/>
        <w:pPr>
          <w:ind w:left="375" w:hanging="375"/>
        </w:pPr>
      </w:lvl>
    </w:lvlOverride>
    <w:lvlOverride w:ilvl="1">
      <w:lvl w:ilvl="1">
        <w:start w:val="1"/>
        <w:numFmt w:val="lowerLetter"/>
        <w:lvlText w:val="%2."/>
        <w:legacy w:legacy="1" w:legacySpace="120" w:legacyIndent="360"/>
        <w:lvlJc w:val="left"/>
        <w:pPr>
          <w:ind w:left="735" w:hanging="360"/>
        </w:pPr>
      </w:lvl>
    </w:lvlOverride>
    <w:lvlOverride w:ilvl="2">
      <w:lvl w:ilvl="2">
        <w:start w:val="1"/>
        <w:numFmt w:val="lowerRoman"/>
        <w:lvlText w:val="%3."/>
        <w:legacy w:legacy="1" w:legacySpace="120" w:legacyIndent="180"/>
        <w:lvlJc w:val="left"/>
        <w:pPr>
          <w:ind w:left="915" w:hanging="180"/>
        </w:pPr>
      </w:lvl>
    </w:lvlOverride>
    <w:lvlOverride w:ilvl="3">
      <w:lvl w:ilvl="3">
        <w:start w:val="1"/>
        <w:numFmt w:val="decimal"/>
        <w:lvlText w:val="%4."/>
        <w:legacy w:legacy="1" w:legacySpace="120" w:legacyIndent="360"/>
        <w:lvlJc w:val="left"/>
        <w:pPr>
          <w:ind w:left="1275" w:hanging="360"/>
        </w:pPr>
      </w:lvl>
    </w:lvlOverride>
    <w:lvlOverride w:ilvl="4">
      <w:lvl w:ilvl="4">
        <w:start w:val="1"/>
        <w:numFmt w:val="lowerLetter"/>
        <w:lvlText w:val="%5."/>
        <w:legacy w:legacy="1" w:legacySpace="120" w:legacyIndent="360"/>
        <w:lvlJc w:val="left"/>
        <w:pPr>
          <w:ind w:left="1635" w:hanging="360"/>
        </w:pPr>
      </w:lvl>
    </w:lvlOverride>
    <w:lvlOverride w:ilvl="5">
      <w:lvl w:ilvl="5">
        <w:start w:val="1"/>
        <w:numFmt w:val="lowerRoman"/>
        <w:lvlText w:val="%6."/>
        <w:legacy w:legacy="1" w:legacySpace="120" w:legacyIndent="180"/>
        <w:lvlJc w:val="left"/>
        <w:pPr>
          <w:ind w:left="1815" w:hanging="180"/>
        </w:pPr>
      </w:lvl>
    </w:lvlOverride>
    <w:lvlOverride w:ilvl="6">
      <w:lvl w:ilvl="6">
        <w:start w:val="1"/>
        <w:numFmt w:val="decimal"/>
        <w:lvlText w:val="%7."/>
        <w:legacy w:legacy="1" w:legacySpace="120" w:legacyIndent="360"/>
        <w:lvlJc w:val="left"/>
        <w:pPr>
          <w:ind w:left="2175" w:hanging="360"/>
        </w:pPr>
      </w:lvl>
    </w:lvlOverride>
    <w:lvlOverride w:ilvl="7">
      <w:lvl w:ilvl="7">
        <w:start w:val="1"/>
        <w:numFmt w:val="lowerLetter"/>
        <w:lvlText w:val="%8."/>
        <w:legacy w:legacy="1" w:legacySpace="120" w:legacyIndent="360"/>
        <w:lvlJc w:val="left"/>
        <w:pPr>
          <w:ind w:left="2535" w:hanging="360"/>
        </w:pPr>
      </w:lvl>
    </w:lvlOverride>
    <w:lvlOverride w:ilvl="8">
      <w:lvl w:ilvl="8">
        <w:start w:val="1"/>
        <w:numFmt w:val="lowerRoman"/>
        <w:lvlText w:val="%9."/>
        <w:legacy w:legacy="1" w:legacySpace="120" w:legacyIndent="180"/>
        <w:lvlJc w:val="left"/>
        <w:pPr>
          <w:ind w:left="2715" w:hanging="180"/>
        </w:pPr>
      </w:lvl>
    </w:lvlOverride>
  </w:num>
  <w:num w:numId="7" w16cid:durableId="1537110810">
    <w:abstractNumId w:val="7"/>
  </w:num>
  <w:num w:numId="8" w16cid:durableId="1328510465">
    <w:abstractNumId w:val="11"/>
  </w:num>
  <w:num w:numId="9" w16cid:durableId="2067485648">
    <w:abstractNumId w:val="4"/>
  </w:num>
  <w:num w:numId="10" w16cid:durableId="1798522760">
    <w:abstractNumId w:val="15"/>
  </w:num>
  <w:num w:numId="11" w16cid:durableId="2035301225">
    <w:abstractNumId w:val="3"/>
  </w:num>
  <w:num w:numId="12" w16cid:durableId="2113276289">
    <w:abstractNumId w:val="1"/>
  </w:num>
  <w:num w:numId="13" w16cid:durableId="2018575547">
    <w:abstractNumId w:val="0"/>
  </w:num>
  <w:num w:numId="14" w16cid:durableId="1956517552">
    <w:abstractNumId w:val="8"/>
  </w:num>
  <w:num w:numId="15" w16cid:durableId="1149403115">
    <w:abstractNumId w:val="2"/>
  </w:num>
  <w:num w:numId="16" w16cid:durableId="1769227164">
    <w:abstractNumId w:val="9"/>
  </w:num>
  <w:num w:numId="17" w16cid:durableId="917253672">
    <w:abstractNumId w:val="12"/>
  </w:num>
  <w:num w:numId="18" w16cid:durableId="792944137">
    <w:abstractNumId w:val="14"/>
  </w:num>
  <w:num w:numId="19" w16cid:durableId="1787654687">
    <w:abstractNumId w:val="16"/>
  </w:num>
  <w:num w:numId="20" w16cid:durableId="1631477827">
    <w:abstractNumId w:val="6"/>
  </w:num>
  <w:num w:numId="21" w16cid:durableId="19275697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44034"/>
    <o:shapelayout v:ext="edit">
      <o:idmap v:ext="edit" data="43"/>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01083"/>
    <w:rsid w:val="00000DEA"/>
    <w:rsid w:val="00007DA2"/>
    <w:rsid w:val="000150D2"/>
    <w:rsid w:val="00017278"/>
    <w:rsid w:val="00020C46"/>
    <w:rsid w:val="000210AA"/>
    <w:rsid w:val="00034DBC"/>
    <w:rsid w:val="00036BB7"/>
    <w:rsid w:val="0004284E"/>
    <w:rsid w:val="00056C3D"/>
    <w:rsid w:val="000725BD"/>
    <w:rsid w:val="00072C9D"/>
    <w:rsid w:val="00072F41"/>
    <w:rsid w:val="00083640"/>
    <w:rsid w:val="0008483C"/>
    <w:rsid w:val="00093744"/>
    <w:rsid w:val="000A17B6"/>
    <w:rsid w:val="000A346A"/>
    <w:rsid w:val="000A4423"/>
    <w:rsid w:val="000A4A82"/>
    <w:rsid w:val="000A6E98"/>
    <w:rsid w:val="000A6EC0"/>
    <w:rsid w:val="000A77D9"/>
    <w:rsid w:val="000B4078"/>
    <w:rsid w:val="000F0BB2"/>
    <w:rsid w:val="000F2CA0"/>
    <w:rsid w:val="00100CA7"/>
    <w:rsid w:val="00113A2C"/>
    <w:rsid w:val="001148F7"/>
    <w:rsid w:val="001173A4"/>
    <w:rsid w:val="001207BE"/>
    <w:rsid w:val="00120ACC"/>
    <w:rsid w:val="00121859"/>
    <w:rsid w:val="001253A9"/>
    <w:rsid w:val="001273C0"/>
    <w:rsid w:val="00134A39"/>
    <w:rsid w:val="001407BE"/>
    <w:rsid w:val="001452A8"/>
    <w:rsid w:val="00147530"/>
    <w:rsid w:val="0015094C"/>
    <w:rsid w:val="00157C20"/>
    <w:rsid w:val="001622D7"/>
    <w:rsid w:val="00163FF9"/>
    <w:rsid w:val="00170AEC"/>
    <w:rsid w:val="00172928"/>
    <w:rsid w:val="001A049D"/>
    <w:rsid w:val="001A2C10"/>
    <w:rsid w:val="001B4692"/>
    <w:rsid w:val="001B6A58"/>
    <w:rsid w:val="001C069F"/>
    <w:rsid w:val="001C09BC"/>
    <w:rsid w:val="001C796A"/>
    <w:rsid w:val="001D2057"/>
    <w:rsid w:val="001D4613"/>
    <w:rsid w:val="001D6D9C"/>
    <w:rsid w:val="001E366B"/>
    <w:rsid w:val="001E5554"/>
    <w:rsid w:val="001E604E"/>
    <w:rsid w:val="001E6B5D"/>
    <w:rsid w:val="001F322E"/>
    <w:rsid w:val="001F3E91"/>
    <w:rsid w:val="00206266"/>
    <w:rsid w:val="002121CE"/>
    <w:rsid w:val="00215CB1"/>
    <w:rsid w:val="002217E3"/>
    <w:rsid w:val="002243A6"/>
    <w:rsid w:val="00225EED"/>
    <w:rsid w:val="002448A9"/>
    <w:rsid w:val="0024567F"/>
    <w:rsid w:val="002507C7"/>
    <w:rsid w:val="002515D9"/>
    <w:rsid w:val="0025603C"/>
    <w:rsid w:val="00257CFB"/>
    <w:rsid w:val="00263D98"/>
    <w:rsid w:val="0027662F"/>
    <w:rsid w:val="00282A12"/>
    <w:rsid w:val="00294E0E"/>
    <w:rsid w:val="002953D7"/>
    <w:rsid w:val="002A3904"/>
    <w:rsid w:val="002A42C6"/>
    <w:rsid w:val="002A50A5"/>
    <w:rsid w:val="002A62AC"/>
    <w:rsid w:val="002B002E"/>
    <w:rsid w:val="002B6945"/>
    <w:rsid w:val="002C15A2"/>
    <w:rsid w:val="002C29DA"/>
    <w:rsid w:val="002C30DE"/>
    <w:rsid w:val="002C3DAA"/>
    <w:rsid w:val="002C4500"/>
    <w:rsid w:val="002D3079"/>
    <w:rsid w:val="002E0AB1"/>
    <w:rsid w:val="002E1F24"/>
    <w:rsid w:val="002E713B"/>
    <w:rsid w:val="002F06D6"/>
    <w:rsid w:val="002F20ED"/>
    <w:rsid w:val="002F7A72"/>
    <w:rsid w:val="00300CFE"/>
    <w:rsid w:val="003040D9"/>
    <w:rsid w:val="0030633E"/>
    <w:rsid w:val="003148CB"/>
    <w:rsid w:val="003150EA"/>
    <w:rsid w:val="00322F73"/>
    <w:rsid w:val="0032304C"/>
    <w:rsid w:val="0032436F"/>
    <w:rsid w:val="00332593"/>
    <w:rsid w:val="00334522"/>
    <w:rsid w:val="003372C3"/>
    <w:rsid w:val="003374E9"/>
    <w:rsid w:val="003431E3"/>
    <w:rsid w:val="003468A1"/>
    <w:rsid w:val="00347D23"/>
    <w:rsid w:val="0036000D"/>
    <w:rsid w:val="003608FF"/>
    <w:rsid w:val="003634D9"/>
    <w:rsid w:val="00366002"/>
    <w:rsid w:val="003671C1"/>
    <w:rsid w:val="00372245"/>
    <w:rsid w:val="00374BEE"/>
    <w:rsid w:val="003769A4"/>
    <w:rsid w:val="00376DB1"/>
    <w:rsid w:val="00377773"/>
    <w:rsid w:val="00384C70"/>
    <w:rsid w:val="003933F3"/>
    <w:rsid w:val="003A5872"/>
    <w:rsid w:val="003B45CF"/>
    <w:rsid w:val="003B520D"/>
    <w:rsid w:val="003B64FB"/>
    <w:rsid w:val="003C0146"/>
    <w:rsid w:val="003C4051"/>
    <w:rsid w:val="003D28F8"/>
    <w:rsid w:val="003D3A96"/>
    <w:rsid w:val="003D4A69"/>
    <w:rsid w:val="003D4D89"/>
    <w:rsid w:val="003D7CF9"/>
    <w:rsid w:val="003E10FB"/>
    <w:rsid w:val="003E13FF"/>
    <w:rsid w:val="003F1DE0"/>
    <w:rsid w:val="00406B0F"/>
    <w:rsid w:val="00413FC7"/>
    <w:rsid w:val="00416EAA"/>
    <w:rsid w:val="004241FC"/>
    <w:rsid w:val="0042428A"/>
    <w:rsid w:val="00427D7C"/>
    <w:rsid w:val="004342AF"/>
    <w:rsid w:val="004401E8"/>
    <w:rsid w:val="00445E8B"/>
    <w:rsid w:val="00446B08"/>
    <w:rsid w:val="004501B7"/>
    <w:rsid w:val="00450FA3"/>
    <w:rsid w:val="00452CFB"/>
    <w:rsid w:val="00460ED6"/>
    <w:rsid w:val="004658C8"/>
    <w:rsid w:val="004671F7"/>
    <w:rsid w:val="00473258"/>
    <w:rsid w:val="00477156"/>
    <w:rsid w:val="0047733B"/>
    <w:rsid w:val="00481701"/>
    <w:rsid w:val="00481B89"/>
    <w:rsid w:val="00481F17"/>
    <w:rsid w:val="0048265A"/>
    <w:rsid w:val="00484EE6"/>
    <w:rsid w:val="00486C8E"/>
    <w:rsid w:val="00486EF6"/>
    <w:rsid w:val="00491B1C"/>
    <w:rsid w:val="004A2616"/>
    <w:rsid w:val="004A272F"/>
    <w:rsid w:val="004A70BC"/>
    <w:rsid w:val="004B3A9D"/>
    <w:rsid w:val="004B7819"/>
    <w:rsid w:val="004C358A"/>
    <w:rsid w:val="004D04C0"/>
    <w:rsid w:val="004D2894"/>
    <w:rsid w:val="004D2F86"/>
    <w:rsid w:val="004E0C18"/>
    <w:rsid w:val="004E59AE"/>
    <w:rsid w:val="00506446"/>
    <w:rsid w:val="00511A32"/>
    <w:rsid w:val="0051292E"/>
    <w:rsid w:val="005216BA"/>
    <w:rsid w:val="00521D27"/>
    <w:rsid w:val="00522EF3"/>
    <w:rsid w:val="00543BCD"/>
    <w:rsid w:val="00543C62"/>
    <w:rsid w:val="00545607"/>
    <w:rsid w:val="00553CD2"/>
    <w:rsid w:val="0055554C"/>
    <w:rsid w:val="005614F0"/>
    <w:rsid w:val="00563B56"/>
    <w:rsid w:val="005721AF"/>
    <w:rsid w:val="00575745"/>
    <w:rsid w:val="00586923"/>
    <w:rsid w:val="00592170"/>
    <w:rsid w:val="005A21AE"/>
    <w:rsid w:val="005A53EF"/>
    <w:rsid w:val="005A7C63"/>
    <w:rsid w:val="005B0616"/>
    <w:rsid w:val="005B0833"/>
    <w:rsid w:val="005B14CC"/>
    <w:rsid w:val="005B1F41"/>
    <w:rsid w:val="005B5317"/>
    <w:rsid w:val="005B5C87"/>
    <w:rsid w:val="005C0E0B"/>
    <w:rsid w:val="005D277D"/>
    <w:rsid w:val="005D3C43"/>
    <w:rsid w:val="005E1102"/>
    <w:rsid w:val="005E5AAC"/>
    <w:rsid w:val="005F64D0"/>
    <w:rsid w:val="00601318"/>
    <w:rsid w:val="00602076"/>
    <w:rsid w:val="0060394C"/>
    <w:rsid w:val="00607387"/>
    <w:rsid w:val="00611958"/>
    <w:rsid w:val="006166A0"/>
    <w:rsid w:val="00617984"/>
    <w:rsid w:val="00617E7C"/>
    <w:rsid w:val="006374CC"/>
    <w:rsid w:val="00641D7C"/>
    <w:rsid w:val="00645A7B"/>
    <w:rsid w:val="00661361"/>
    <w:rsid w:val="0066751F"/>
    <w:rsid w:val="00674C4B"/>
    <w:rsid w:val="006758BE"/>
    <w:rsid w:val="0067731D"/>
    <w:rsid w:val="00677745"/>
    <w:rsid w:val="006837B7"/>
    <w:rsid w:val="00684494"/>
    <w:rsid w:val="006A5AF5"/>
    <w:rsid w:val="006A675D"/>
    <w:rsid w:val="006B0EAC"/>
    <w:rsid w:val="006D3514"/>
    <w:rsid w:val="006D4721"/>
    <w:rsid w:val="006E06F1"/>
    <w:rsid w:val="006E2B63"/>
    <w:rsid w:val="006E4A51"/>
    <w:rsid w:val="006F3885"/>
    <w:rsid w:val="006F77AE"/>
    <w:rsid w:val="006F79CE"/>
    <w:rsid w:val="006F7EC2"/>
    <w:rsid w:val="00701083"/>
    <w:rsid w:val="00702108"/>
    <w:rsid w:val="00715019"/>
    <w:rsid w:val="00715531"/>
    <w:rsid w:val="00723449"/>
    <w:rsid w:val="00735CC0"/>
    <w:rsid w:val="00737793"/>
    <w:rsid w:val="007405D4"/>
    <w:rsid w:val="007502D0"/>
    <w:rsid w:val="00760A1C"/>
    <w:rsid w:val="00761D9C"/>
    <w:rsid w:val="007702FA"/>
    <w:rsid w:val="00771935"/>
    <w:rsid w:val="00782EE0"/>
    <w:rsid w:val="00785D11"/>
    <w:rsid w:val="00787F40"/>
    <w:rsid w:val="0079164B"/>
    <w:rsid w:val="0079291A"/>
    <w:rsid w:val="007A2219"/>
    <w:rsid w:val="007A4561"/>
    <w:rsid w:val="007B451A"/>
    <w:rsid w:val="007B56E5"/>
    <w:rsid w:val="007B72F9"/>
    <w:rsid w:val="007C060A"/>
    <w:rsid w:val="007D18EE"/>
    <w:rsid w:val="007D35C8"/>
    <w:rsid w:val="007D5FD9"/>
    <w:rsid w:val="007E2AD1"/>
    <w:rsid w:val="007E4687"/>
    <w:rsid w:val="007E7445"/>
    <w:rsid w:val="007F5903"/>
    <w:rsid w:val="00811467"/>
    <w:rsid w:val="00811505"/>
    <w:rsid w:val="008205FC"/>
    <w:rsid w:val="00840A84"/>
    <w:rsid w:val="00843F86"/>
    <w:rsid w:val="008668DB"/>
    <w:rsid w:val="00871E33"/>
    <w:rsid w:val="008725BA"/>
    <w:rsid w:val="00872E33"/>
    <w:rsid w:val="008851A9"/>
    <w:rsid w:val="008852C7"/>
    <w:rsid w:val="00886415"/>
    <w:rsid w:val="00890FCA"/>
    <w:rsid w:val="00891998"/>
    <w:rsid w:val="0089228D"/>
    <w:rsid w:val="008943E2"/>
    <w:rsid w:val="00894F08"/>
    <w:rsid w:val="008977F1"/>
    <w:rsid w:val="008A1020"/>
    <w:rsid w:val="008B3E0F"/>
    <w:rsid w:val="008B4CB8"/>
    <w:rsid w:val="008B5AF7"/>
    <w:rsid w:val="008C0BD8"/>
    <w:rsid w:val="008C27D9"/>
    <w:rsid w:val="008C4D7E"/>
    <w:rsid w:val="008C5A2B"/>
    <w:rsid w:val="008C6A78"/>
    <w:rsid w:val="008D0206"/>
    <w:rsid w:val="008E042E"/>
    <w:rsid w:val="008E09D4"/>
    <w:rsid w:val="008E324C"/>
    <w:rsid w:val="0090067C"/>
    <w:rsid w:val="00900A42"/>
    <w:rsid w:val="0090286E"/>
    <w:rsid w:val="00911D76"/>
    <w:rsid w:val="009223BC"/>
    <w:rsid w:val="00924E73"/>
    <w:rsid w:val="0093243B"/>
    <w:rsid w:val="00934DB7"/>
    <w:rsid w:val="0094253B"/>
    <w:rsid w:val="00943B31"/>
    <w:rsid w:val="00946C04"/>
    <w:rsid w:val="00957850"/>
    <w:rsid w:val="00971AF9"/>
    <w:rsid w:val="00982E83"/>
    <w:rsid w:val="0099426B"/>
    <w:rsid w:val="00994790"/>
    <w:rsid w:val="00996165"/>
    <w:rsid w:val="00997669"/>
    <w:rsid w:val="009A3A81"/>
    <w:rsid w:val="009A3E0E"/>
    <w:rsid w:val="009C3837"/>
    <w:rsid w:val="009D7FE9"/>
    <w:rsid w:val="009E1E64"/>
    <w:rsid w:val="009E7784"/>
    <w:rsid w:val="009F03B2"/>
    <w:rsid w:val="00A006A9"/>
    <w:rsid w:val="00A02687"/>
    <w:rsid w:val="00A02CFF"/>
    <w:rsid w:val="00A07CA0"/>
    <w:rsid w:val="00A21346"/>
    <w:rsid w:val="00A275A2"/>
    <w:rsid w:val="00A631D6"/>
    <w:rsid w:val="00A72E10"/>
    <w:rsid w:val="00A74773"/>
    <w:rsid w:val="00A75415"/>
    <w:rsid w:val="00A763E8"/>
    <w:rsid w:val="00A76487"/>
    <w:rsid w:val="00A77DE5"/>
    <w:rsid w:val="00A83DDE"/>
    <w:rsid w:val="00A91E39"/>
    <w:rsid w:val="00AA2F19"/>
    <w:rsid w:val="00AB1BC6"/>
    <w:rsid w:val="00AB521A"/>
    <w:rsid w:val="00AB77C8"/>
    <w:rsid w:val="00AC3971"/>
    <w:rsid w:val="00AE45D8"/>
    <w:rsid w:val="00AF0910"/>
    <w:rsid w:val="00AF1B86"/>
    <w:rsid w:val="00AF56C8"/>
    <w:rsid w:val="00AF5762"/>
    <w:rsid w:val="00AF6ACC"/>
    <w:rsid w:val="00AF78EC"/>
    <w:rsid w:val="00B07201"/>
    <w:rsid w:val="00B234BF"/>
    <w:rsid w:val="00B26908"/>
    <w:rsid w:val="00B33196"/>
    <w:rsid w:val="00B373D0"/>
    <w:rsid w:val="00B374AB"/>
    <w:rsid w:val="00B42926"/>
    <w:rsid w:val="00B435A1"/>
    <w:rsid w:val="00B453C0"/>
    <w:rsid w:val="00B466A1"/>
    <w:rsid w:val="00B518CD"/>
    <w:rsid w:val="00B51B6F"/>
    <w:rsid w:val="00B56D33"/>
    <w:rsid w:val="00B65D20"/>
    <w:rsid w:val="00B75659"/>
    <w:rsid w:val="00B76132"/>
    <w:rsid w:val="00B7786E"/>
    <w:rsid w:val="00B81D25"/>
    <w:rsid w:val="00B974C3"/>
    <w:rsid w:val="00BA394E"/>
    <w:rsid w:val="00BB136C"/>
    <w:rsid w:val="00BB4B58"/>
    <w:rsid w:val="00BC0A31"/>
    <w:rsid w:val="00BC16B8"/>
    <w:rsid w:val="00BD29B8"/>
    <w:rsid w:val="00BD4667"/>
    <w:rsid w:val="00BD6064"/>
    <w:rsid w:val="00BE1919"/>
    <w:rsid w:val="00BF01E6"/>
    <w:rsid w:val="00BF06D7"/>
    <w:rsid w:val="00BF0AC9"/>
    <w:rsid w:val="00BF24E8"/>
    <w:rsid w:val="00C0349E"/>
    <w:rsid w:val="00C049AD"/>
    <w:rsid w:val="00C06A9C"/>
    <w:rsid w:val="00C2793D"/>
    <w:rsid w:val="00C3096E"/>
    <w:rsid w:val="00C32116"/>
    <w:rsid w:val="00C35579"/>
    <w:rsid w:val="00C41F74"/>
    <w:rsid w:val="00C447A6"/>
    <w:rsid w:val="00C5135E"/>
    <w:rsid w:val="00C5198F"/>
    <w:rsid w:val="00C54523"/>
    <w:rsid w:val="00C56F31"/>
    <w:rsid w:val="00C5729C"/>
    <w:rsid w:val="00C60F95"/>
    <w:rsid w:val="00C71BF3"/>
    <w:rsid w:val="00C71E8D"/>
    <w:rsid w:val="00C754BD"/>
    <w:rsid w:val="00C82983"/>
    <w:rsid w:val="00C82BF5"/>
    <w:rsid w:val="00C83F0C"/>
    <w:rsid w:val="00C97357"/>
    <w:rsid w:val="00CA2987"/>
    <w:rsid w:val="00CA65C8"/>
    <w:rsid w:val="00CA7A87"/>
    <w:rsid w:val="00CB421C"/>
    <w:rsid w:val="00CC05BB"/>
    <w:rsid w:val="00CC1B05"/>
    <w:rsid w:val="00CC4A2B"/>
    <w:rsid w:val="00CD441D"/>
    <w:rsid w:val="00CD5807"/>
    <w:rsid w:val="00CD6F9B"/>
    <w:rsid w:val="00CF1994"/>
    <w:rsid w:val="00CF7737"/>
    <w:rsid w:val="00D027C2"/>
    <w:rsid w:val="00D06851"/>
    <w:rsid w:val="00D0765E"/>
    <w:rsid w:val="00D12131"/>
    <w:rsid w:val="00D13C2D"/>
    <w:rsid w:val="00D1552B"/>
    <w:rsid w:val="00D16B04"/>
    <w:rsid w:val="00D238CB"/>
    <w:rsid w:val="00D27E8B"/>
    <w:rsid w:val="00D32226"/>
    <w:rsid w:val="00D33EED"/>
    <w:rsid w:val="00D40F8B"/>
    <w:rsid w:val="00D4140D"/>
    <w:rsid w:val="00D52331"/>
    <w:rsid w:val="00D62F88"/>
    <w:rsid w:val="00D676A7"/>
    <w:rsid w:val="00D75820"/>
    <w:rsid w:val="00D82E9A"/>
    <w:rsid w:val="00D90F6D"/>
    <w:rsid w:val="00D937A6"/>
    <w:rsid w:val="00D97101"/>
    <w:rsid w:val="00DA034C"/>
    <w:rsid w:val="00DA2047"/>
    <w:rsid w:val="00DA3EED"/>
    <w:rsid w:val="00DB01D4"/>
    <w:rsid w:val="00DB483F"/>
    <w:rsid w:val="00DC0124"/>
    <w:rsid w:val="00DD36A1"/>
    <w:rsid w:val="00DE42F0"/>
    <w:rsid w:val="00DE4FA3"/>
    <w:rsid w:val="00DF0E72"/>
    <w:rsid w:val="00E07053"/>
    <w:rsid w:val="00E1499D"/>
    <w:rsid w:val="00E342B0"/>
    <w:rsid w:val="00E40A7C"/>
    <w:rsid w:val="00E42450"/>
    <w:rsid w:val="00E43153"/>
    <w:rsid w:val="00E55276"/>
    <w:rsid w:val="00E61F50"/>
    <w:rsid w:val="00E62EF5"/>
    <w:rsid w:val="00E63DF2"/>
    <w:rsid w:val="00E648F6"/>
    <w:rsid w:val="00E72FA8"/>
    <w:rsid w:val="00E74159"/>
    <w:rsid w:val="00E74244"/>
    <w:rsid w:val="00E8252F"/>
    <w:rsid w:val="00E92107"/>
    <w:rsid w:val="00E96469"/>
    <w:rsid w:val="00EA1693"/>
    <w:rsid w:val="00EA188B"/>
    <w:rsid w:val="00EA69E5"/>
    <w:rsid w:val="00EB3A49"/>
    <w:rsid w:val="00EC23CE"/>
    <w:rsid w:val="00ED085E"/>
    <w:rsid w:val="00ED31F6"/>
    <w:rsid w:val="00ED7B8C"/>
    <w:rsid w:val="00EE1288"/>
    <w:rsid w:val="00EE1B48"/>
    <w:rsid w:val="00EE2D80"/>
    <w:rsid w:val="00EE3CC5"/>
    <w:rsid w:val="00EE7BD9"/>
    <w:rsid w:val="00EF051D"/>
    <w:rsid w:val="00EF260B"/>
    <w:rsid w:val="00EF4456"/>
    <w:rsid w:val="00F00532"/>
    <w:rsid w:val="00F07876"/>
    <w:rsid w:val="00F12B65"/>
    <w:rsid w:val="00F269A3"/>
    <w:rsid w:val="00F315CB"/>
    <w:rsid w:val="00F35BC0"/>
    <w:rsid w:val="00F4220F"/>
    <w:rsid w:val="00F43E52"/>
    <w:rsid w:val="00F451B3"/>
    <w:rsid w:val="00F628EA"/>
    <w:rsid w:val="00F62C72"/>
    <w:rsid w:val="00F630CA"/>
    <w:rsid w:val="00F71806"/>
    <w:rsid w:val="00F77985"/>
    <w:rsid w:val="00F93539"/>
    <w:rsid w:val="00F93F4C"/>
    <w:rsid w:val="00F96500"/>
    <w:rsid w:val="00F97CCE"/>
    <w:rsid w:val="00F97E06"/>
    <w:rsid w:val="00FB1E3F"/>
    <w:rsid w:val="00FB2B28"/>
    <w:rsid w:val="00FB3D3C"/>
    <w:rsid w:val="00FB53D3"/>
    <w:rsid w:val="00FB72FD"/>
    <w:rsid w:val="00FC1CB5"/>
    <w:rsid w:val="00FC1DF2"/>
    <w:rsid w:val="00FC7D13"/>
    <w:rsid w:val="00FD39EB"/>
    <w:rsid w:val="00FD719D"/>
    <w:rsid w:val="00FE1838"/>
    <w:rsid w:val="00FF39E9"/>
    <w:rsid w:val="00FF4276"/>
    <w:rsid w:val="00FF66E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14:docId w14:val="7CAF5964"/>
  <w15:docId w15:val="{77293C31-20F4-4B04-B002-B1D0BB571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5B1F41"/>
    <w:rPr>
      <w:sz w:val="24"/>
      <w:lang w:eastAsia="cs-CZ"/>
    </w:rPr>
  </w:style>
  <w:style w:type="paragraph" w:styleId="Nadpis1">
    <w:name w:val="heading 1"/>
    <w:basedOn w:val="Normlny"/>
    <w:next w:val="Normlny"/>
    <w:qFormat/>
    <w:rsid w:val="005B1F41"/>
    <w:pPr>
      <w:keepNext/>
      <w:spacing w:line="360" w:lineRule="auto"/>
      <w:jc w:val="both"/>
      <w:outlineLvl w:val="0"/>
    </w:pPr>
    <w:rPr>
      <w:rFonts w:ascii="Bookman Old Style" w:hAnsi="Bookman Old Style"/>
    </w:rPr>
  </w:style>
  <w:style w:type="paragraph" w:styleId="Nadpis2">
    <w:name w:val="heading 2"/>
    <w:basedOn w:val="Normlny"/>
    <w:next w:val="Normlny"/>
    <w:qFormat/>
    <w:rsid w:val="005B1F41"/>
    <w:pPr>
      <w:keepNext/>
      <w:spacing w:line="360" w:lineRule="auto"/>
      <w:outlineLvl w:val="1"/>
    </w:pPr>
  </w:style>
  <w:style w:type="paragraph" w:styleId="Nadpis3">
    <w:name w:val="heading 3"/>
    <w:basedOn w:val="Normlny"/>
    <w:next w:val="Normlny"/>
    <w:qFormat/>
    <w:rsid w:val="005B1F41"/>
    <w:pPr>
      <w:keepNext/>
      <w:spacing w:line="360" w:lineRule="auto"/>
      <w:jc w:val="both"/>
      <w:outlineLvl w:val="2"/>
    </w:pPr>
    <w:rPr>
      <w:b/>
      <w:sz w:val="28"/>
    </w:rPr>
  </w:style>
  <w:style w:type="paragraph" w:styleId="Nadpis4">
    <w:name w:val="heading 4"/>
    <w:basedOn w:val="Normlny"/>
    <w:next w:val="Normlny"/>
    <w:link w:val="Nadpis4Char"/>
    <w:uiPriority w:val="9"/>
    <w:semiHidden/>
    <w:unhideWhenUsed/>
    <w:qFormat/>
    <w:rsid w:val="00F630CA"/>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qFormat/>
    <w:rsid w:val="005B1F41"/>
    <w:pPr>
      <w:keepNext/>
      <w:outlineLvl w:val="4"/>
    </w:pPr>
    <w:rPr>
      <w:rFonts w:ascii="Arial" w:hAnsi="Arial"/>
      <w:color w:val="FF0000"/>
      <w:sz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sloriadka">
    <w:name w:val="line number"/>
    <w:basedOn w:val="Predvolenpsmoodseku"/>
    <w:rsid w:val="005B1F41"/>
  </w:style>
  <w:style w:type="paragraph" w:styleId="Pta">
    <w:name w:val="footer"/>
    <w:basedOn w:val="Normlny"/>
    <w:link w:val="PtaChar"/>
    <w:rsid w:val="005B1F41"/>
    <w:pPr>
      <w:tabs>
        <w:tab w:val="center" w:pos="4536"/>
        <w:tab w:val="right" w:pos="9072"/>
      </w:tabs>
    </w:pPr>
  </w:style>
  <w:style w:type="character" w:styleId="slostrany">
    <w:name w:val="page number"/>
    <w:basedOn w:val="Predvolenpsmoodseku"/>
    <w:rsid w:val="005B1F41"/>
  </w:style>
  <w:style w:type="paragraph" w:styleId="Hlavika">
    <w:name w:val="header"/>
    <w:basedOn w:val="Normlny"/>
    <w:link w:val="HlavikaChar"/>
    <w:rsid w:val="005B1F41"/>
    <w:pPr>
      <w:tabs>
        <w:tab w:val="center" w:pos="4536"/>
        <w:tab w:val="right" w:pos="9072"/>
      </w:tabs>
    </w:pPr>
  </w:style>
  <w:style w:type="paragraph" w:styleId="Nzov">
    <w:name w:val="Title"/>
    <w:basedOn w:val="Normlny"/>
    <w:qFormat/>
    <w:rsid w:val="005B1F41"/>
    <w:pPr>
      <w:pBdr>
        <w:top w:val="single" w:sz="6" w:space="1" w:color="auto"/>
        <w:left w:val="single" w:sz="6" w:space="1" w:color="auto"/>
        <w:bottom w:val="single" w:sz="6" w:space="1" w:color="auto"/>
        <w:right w:val="single" w:sz="6" w:space="1" w:color="auto"/>
      </w:pBdr>
      <w:shd w:val="pct10" w:color="auto" w:fill="auto"/>
      <w:jc w:val="center"/>
    </w:pPr>
    <w:rPr>
      <w:b/>
      <w:sz w:val="28"/>
    </w:rPr>
  </w:style>
  <w:style w:type="paragraph" w:styleId="Zkladntext">
    <w:name w:val="Body Text"/>
    <w:basedOn w:val="Normlny"/>
    <w:rsid w:val="005B1F41"/>
    <w:pPr>
      <w:jc w:val="both"/>
    </w:pPr>
    <w:rPr>
      <w:rFonts w:ascii="Bookman Old Style" w:hAnsi="Bookman Old Style"/>
    </w:rPr>
  </w:style>
  <w:style w:type="paragraph" w:customStyle="1" w:styleId="Zkladntext21">
    <w:name w:val="Základný text 21"/>
    <w:basedOn w:val="Normlny"/>
    <w:rsid w:val="005B1F41"/>
    <w:pPr>
      <w:spacing w:line="360" w:lineRule="auto"/>
      <w:jc w:val="both"/>
    </w:pPr>
    <w:rPr>
      <w:rFonts w:ascii="Bookman Old Style" w:hAnsi="Bookman Old Style"/>
      <w:b/>
    </w:rPr>
  </w:style>
  <w:style w:type="paragraph" w:customStyle="1" w:styleId="Zkladntext31">
    <w:name w:val="Základný text 31"/>
    <w:basedOn w:val="Normlny"/>
    <w:rsid w:val="005B1F41"/>
    <w:pPr>
      <w:spacing w:line="360" w:lineRule="auto"/>
      <w:jc w:val="both"/>
    </w:pPr>
    <w:rPr>
      <w:rFonts w:ascii="Bookman Old Style" w:hAnsi="Bookman Old Style"/>
      <w:u w:val="single"/>
    </w:rPr>
  </w:style>
  <w:style w:type="paragraph" w:customStyle="1" w:styleId="pavel">
    <w:name w:val="pavel"/>
    <w:basedOn w:val="Normlny"/>
    <w:rsid w:val="005B1F41"/>
    <w:pPr>
      <w:spacing w:line="360" w:lineRule="auto"/>
      <w:jc w:val="both"/>
    </w:pPr>
    <w:rPr>
      <w:rFonts w:ascii="Arial" w:hAnsi="Arial"/>
      <w:spacing w:val="4"/>
      <w:szCs w:val="24"/>
    </w:rPr>
  </w:style>
  <w:style w:type="paragraph" w:styleId="Zarkazkladnhotextu">
    <w:name w:val="Body Text Indent"/>
    <w:basedOn w:val="Normlny"/>
    <w:rsid w:val="005B1F41"/>
    <w:pPr>
      <w:spacing w:after="120"/>
      <w:ind w:left="283"/>
    </w:pPr>
  </w:style>
  <w:style w:type="paragraph" w:customStyle="1" w:styleId="WW-Seznam4">
    <w:name w:val="WW-Seznam 4"/>
    <w:basedOn w:val="Normlny"/>
    <w:rsid w:val="005B1F41"/>
    <w:pPr>
      <w:ind w:left="1132" w:hanging="283"/>
    </w:pPr>
    <w:rPr>
      <w:sz w:val="20"/>
      <w:lang w:eastAsia="ar-SA"/>
    </w:rPr>
  </w:style>
  <w:style w:type="paragraph" w:styleId="Pokraovaniezoznamu4">
    <w:name w:val="List Continue 4"/>
    <w:basedOn w:val="Normlny"/>
    <w:rsid w:val="005B1F41"/>
    <w:pPr>
      <w:suppressAutoHyphens/>
      <w:spacing w:after="120"/>
      <w:ind w:left="1132"/>
    </w:pPr>
    <w:rPr>
      <w:sz w:val="20"/>
      <w:lang w:eastAsia="ar-SA"/>
    </w:rPr>
  </w:style>
  <w:style w:type="paragraph" w:styleId="Zarkazkladnhotextu2">
    <w:name w:val="Body Text Indent 2"/>
    <w:basedOn w:val="Normlny"/>
    <w:rsid w:val="005B1F41"/>
    <w:pPr>
      <w:numPr>
        <w:ilvl w:val="12"/>
      </w:numPr>
      <w:ind w:firstLine="284"/>
      <w:jc w:val="both"/>
    </w:pPr>
    <w:rPr>
      <w:rFonts w:ascii="Arial" w:hAnsi="Arial" w:cs="Arial"/>
    </w:rPr>
  </w:style>
  <w:style w:type="paragraph" w:styleId="Textbubliny">
    <w:name w:val="Balloon Text"/>
    <w:basedOn w:val="Normlny"/>
    <w:link w:val="TextbublinyChar"/>
    <w:uiPriority w:val="99"/>
    <w:semiHidden/>
    <w:unhideWhenUsed/>
    <w:rsid w:val="001F3E91"/>
    <w:rPr>
      <w:rFonts w:ascii="Tahoma" w:hAnsi="Tahoma" w:cs="Tahoma"/>
      <w:sz w:val="16"/>
      <w:szCs w:val="16"/>
    </w:rPr>
  </w:style>
  <w:style w:type="character" w:customStyle="1" w:styleId="TextbublinyChar">
    <w:name w:val="Text bubliny Char"/>
    <w:basedOn w:val="Predvolenpsmoodseku"/>
    <w:link w:val="Textbubliny"/>
    <w:uiPriority w:val="99"/>
    <w:semiHidden/>
    <w:rsid w:val="001F3E91"/>
    <w:rPr>
      <w:rFonts w:ascii="Tahoma" w:hAnsi="Tahoma" w:cs="Tahoma"/>
      <w:sz w:val="16"/>
      <w:szCs w:val="16"/>
      <w:lang w:eastAsia="cs-CZ"/>
    </w:rPr>
  </w:style>
  <w:style w:type="character" w:customStyle="1" w:styleId="formtext">
    <w:name w:val="formtext"/>
    <w:basedOn w:val="Predvolenpsmoodseku"/>
    <w:rsid w:val="00C754BD"/>
  </w:style>
  <w:style w:type="character" w:styleId="Zstupntext">
    <w:name w:val="Placeholder Text"/>
    <w:basedOn w:val="Predvolenpsmoodseku"/>
    <w:uiPriority w:val="99"/>
    <w:semiHidden/>
    <w:rsid w:val="003608FF"/>
    <w:rPr>
      <w:color w:val="808080"/>
    </w:rPr>
  </w:style>
  <w:style w:type="table" w:styleId="Mriekatabuky">
    <w:name w:val="Table Grid"/>
    <w:basedOn w:val="Normlnatabuka"/>
    <w:uiPriority w:val="59"/>
    <w:rsid w:val="004771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n1">
    <w:name w:val="normální1"/>
    <w:basedOn w:val="Normlny"/>
    <w:rsid w:val="00506446"/>
    <w:rPr>
      <w:lang w:eastAsia="sk-SK"/>
    </w:rPr>
  </w:style>
  <w:style w:type="paragraph" w:styleId="Zarkazkladnhotextu3">
    <w:name w:val="Body Text Indent 3"/>
    <w:basedOn w:val="Normlny"/>
    <w:link w:val="Zarkazkladnhotextu3Char"/>
    <w:uiPriority w:val="99"/>
    <w:semiHidden/>
    <w:unhideWhenUsed/>
    <w:rsid w:val="0015094C"/>
    <w:pPr>
      <w:spacing w:after="120"/>
      <w:ind w:left="283"/>
    </w:pPr>
    <w:rPr>
      <w:sz w:val="16"/>
      <w:szCs w:val="16"/>
    </w:rPr>
  </w:style>
  <w:style w:type="character" w:customStyle="1" w:styleId="Zarkazkladnhotextu3Char">
    <w:name w:val="Zarážka základného textu 3 Char"/>
    <w:basedOn w:val="Predvolenpsmoodseku"/>
    <w:link w:val="Zarkazkladnhotextu3"/>
    <w:uiPriority w:val="99"/>
    <w:semiHidden/>
    <w:rsid w:val="0015094C"/>
    <w:rPr>
      <w:sz w:val="16"/>
      <w:szCs w:val="16"/>
      <w:lang w:eastAsia="cs-CZ"/>
    </w:rPr>
  </w:style>
  <w:style w:type="paragraph" w:customStyle="1" w:styleId="Text">
    <w:name w:val="Text"/>
    <w:basedOn w:val="Normlny"/>
    <w:rsid w:val="0015094C"/>
    <w:pPr>
      <w:ind w:firstLine="510"/>
    </w:pPr>
    <w:rPr>
      <w:sz w:val="20"/>
    </w:rPr>
  </w:style>
  <w:style w:type="character" w:customStyle="1" w:styleId="PtaChar">
    <w:name w:val="Päta Char"/>
    <w:basedOn w:val="Predvolenpsmoodseku"/>
    <w:link w:val="Pta"/>
    <w:rsid w:val="00BF01E6"/>
    <w:rPr>
      <w:sz w:val="24"/>
      <w:lang w:eastAsia="cs-CZ"/>
    </w:rPr>
  </w:style>
  <w:style w:type="character" w:customStyle="1" w:styleId="Nadpis4Char">
    <w:name w:val="Nadpis 4 Char"/>
    <w:basedOn w:val="Predvolenpsmoodseku"/>
    <w:link w:val="Nadpis4"/>
    <w:uiPriority w:val="9"/>
    <w:semiHidden/>
    <w:rsid w:val="00F630CA"/>
    <w:rPr>
      <w:rFonts w:asciiTheme="majorHAnsi" w:eastAsiaTheme="majorEastAsia" w:hAnsiTheme="majorHAnsi" w:cstheme="majorBidi"/>
      <w:b/>
      <w:bCs/>
      <w:i/>
      <w:iCs/>
      <w:color w:val="4F81BD" w:themeColor="accent1"/>
      <w:sz w:val="24"/>
      <w:lang w:eastAsia="cs-CZ"/>
    </w:rPr>
  </w:style>
  <w:style w:type="paragraph" w:styleId="PredformtovanHTML">
    <w:name w:val="HTML Preformatted"/>
    <w:basedOn w:val="Normlny"/>
    <w:link w:val="PredformtovanHTMLChar"/>
    <w:uiPriority w:val="99"/>
    <w:semiHidden/>
    <w:unhideWhenUsed/>
    <w:rsid w:val="00F63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EastAsia" w:hAnsi="Courier New" w:cs="Courier New"/>
      <w:sz w:val="20"/>
      <w:lang w:eastAsia="sk-SK"/>
    </w:rPr>
  </w:style>
  <w:style w:type="character" w:customStyle="1" w:styleId="PredformtovanHTMLChar">
    <w:name w:val="Predformátované HTML Char"/>
    <w:basedOn w:val="Predvolenpsmoodseku"/>
    <w:link w:val="PredformtovanHTML"/>
    <w:uiPriority w:val="99"/>
    <w:semiHidden/>
    <w:rsid w:val="00F630CA"/>
    <w:rPr>
      <w:rFonts w:ascii="Courier New" w:eastAsiaTheme="minorEastAsia" w:hAnsi="Courier New" w:cs="Courier New"/>
    </w:rPr>
  </w:style>
  <w:style w:type="character" w:styleId="Vrazn">
    <w:name w:val="Strong"/>
    <w:basedOn w:val="Predvolenpsmoodseku"/>
    <w:uiPriority w:val="22"/>
    <w:qFormat/>
    <w:rsid w:val="00F630CA"/>
    <w:rPr>
      <w:b/>
      <w:bCs/>
    </w:rPr>
  </w:style>
  <w:style w:type="paragraph" w:styleId="Odsekzoznamu">
    <w:name w:val="List Paragraph"/>
    <w:basedOn w:val="Normlny"/>
    <w:uiPriority w:val="34"/>
    <w:qFormat/>
    <w:rsid w:val="00E40A7C"/>
    <w:pPr>
      <w:ind w:left="720"/>
      <w:contextualSpacing/>
    </w:pPr>
  </w:style>
  <w:style w:type="character" w:customStyle="1" w:styleId="HlavikaChar">
    <w:name w:val="Hlavička Char"/>
    <w:basedOn w:val="Predvolenpsmoodseku"/>
    <w:link w:val="Hlavika"/>
    <w:rsid w:val="005D277D"/>
    <w:rPr>
      <w:sz w:val="24"/>
      <w:lang w:eastAsia="cs-CZ"/>
    </w:rPr>
  </w:style>
  <w:style w:type="character" w:styleId="Hypertextovprepojenie">
    <w:name w:val="Hyperlink"/>
    <w:basedOn w:val="Predvolenpsmoodseku"/>
    <w:uiPriority w:val="99"/>
    <w:unhideWhenUsed/>
    <w:rsid w:val="00A91E39"/>
    <w:rPr>
      <w:color w:val="0000FF" w:themeColor="hyperlink"/>
      <w:u w:val="single"/>
    </w:rPr>
  </w:style>
  <w:style w:type="character" w:customStyle="1" w:styleId="Nevyrieenzmienka1">
    <w:name w:val="Nevyriešená zmienka1"/>
    <w:basedOn w:val="Predvolenpsmoodseku"/>
    <w:uiPriority w:val="99"/>
    <w:semiHidden/>
    <w:unhideWhenUsed/>
    <w:rsid w:val="00A91E39"/>
    <w:rPr>
      <w:color w:val="605E5C"/>
      <w:shd w:val="clear" w:color="auto" w:fill="E1DFDD"/>
    </w:rPr>
  </w:style>
  <w:style w:type="character" w:customStyle="1" w:styleId="Nevyrieenzmienka2">
    <w:name w:val="Nevyriešená zmienka2"/>
    <w:basedOn w:val="Predvolenpsmoodseku"/>
    <w:uiPriority w:val="99"/>
    <w:semiHidden/>
    <w:unhideWhenUsed/>
    <w:rsid w:val="00134A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350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4E5D5D-351C-47CD-8EDA-E6D33F70D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2938</TotalTime>
  <Pages>7</Pages>
  <Words>3032</Words>
  <Characters>17287</Characters>
  <Application>Microsoft Office Word</Application>
  <DocSecurity>0</DocSecurity>
  <Lines>144</Lines>
  <Paragraphs>40</Paragraphs>
  <ScaleCrop>false</ScaleCrop>
  <HeadingPairs>
    <vt:vector size="2" baseType="variant">
      <vt:variant>
        <vt:lpstr>Názov</vt:lpstr>
      </vt:variant>
      <vt:variant>
        <vt:i4>1</vt:i4>
      </vt:variant>
    </vt:vector>
  </HeadingPairs>
  <TitlesOfParts>
    <vt:vector size="1" baseType="lpstr">
      <vt:lpstr>T E C H N I C K Á   S P R Á V A</vt:lpstr>
    </vt:vector>
  </TitlesOfParts>
  <Company/>
  <LinksUpToDate>false</LinksUpToDate>
  <CharactersWithSpaces>20279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E C H N I C K Á   S P R Á V A</dc:title>
  <cp:lastModifiedBy>Proletar</cp:lastModifiedBy>
  <cp:revision>54</cp:revision>
  <cp:lastPrinted>2021-10-22T02:26:00Z</cp:lastPrinted>
  <dcterms:created xsi:type="dcterms:W3CDTF">2014-03-04T12:59:00Z</dcterms:created>
  <dcterms:modified xsi:type="dcterms:W3CDTF">2023-12-18T03:28:00Z</dcterms:modified>
</cp:coreProperties>
</file>